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B09AD" w14:textId="45032314" w:rsidR="00F96F97" w:rsidRPr="00FB62C5" w:rsidRDefault="00FB62C5" w:rsidP="00FB62C5">
      <w:pPr>
        <w:pStyle w:val="IntenseQuote"/>
        <w:tabs>
          <w:tab w:val="left" w:pos="8460"/>
        </w:tabs>
        <w:ind w:left="0" w:right="90"/>
        <w:rPr>
          <w:rFonts w:ascii="Times New Roman" w:hAnsi="Times New Roman" w:cs="Times New Roman"/>
          <w:i w:val="0"/>
          <w:iCs w:val="0"/>
          <w:color w:val="00B0F0"/>
        </w:rPr>
      </w:pPr>
      <w:hyperlink r:id="rId8" w:history="1">
        <w:r w:rsidRPr="00FB62C5">
          <w:rPr>
            <w:rStyle w:val="Hyperlink"/>
            <w:rFonts w:ascii="Times New Roman" w:hAnsi="Times New Roman" w:cs="Times New Roman"/>
            <w:b/>
            <w:bCs/>
            <w:i w:val="0"/>
            <w:iCs w:val="0"/>
            <w:color w:val="00B0F0"/>
            <w:u w:val="none"/>
          </w:rPr>
          <w:t>FUNDAMENTAL SCIENTIFIC REPORTS IN MULTIDISCIPLINARY AREAS</w:t>
        </w:r>
      </w:hyperlink>
    </w:p>
    <w:p w14:paraId="16393B75" w14:textId="0D30F984" w:rsidR="00FB62C5" w:rsidRPr="00FB62C5" w:rsidRDefault="00FB62C5" w:rsidP="00FB62C5">
      <w:pPr>
        <w:spacing w:before="240" w:after="0"/>
        <w:jc w:val="center"/>
        <w:rPr>
          <w:rFonts w:ascii="Traditional Arabic" w:hAnsi="Traditional Arabic" w:cs="Traditional Arabic"/>
          <w:b/>
          <w:bCs/>
        </w:rPr>
      </w:pPr>
      <w:r w:rsidRPr="00FB62C5">
        <w:rPr>
          <w:rFonts w:ascii="Traditional Arabic" w:hAnsi="Traditional Arabic" w:cs="Traditional Arabic" w:hint="cs"/>
          <w:b/>
          <w:bCs/>
        </w:rPr>
        <w:t xml:space="preserve">Vol </w:t>
      </w:r>
      <w:r w:rsidR="00355EE9">
        <w:rPr>
          <w:rFonts w:ascii="Traditional Arabic" w:hAnsi="Traditional Arabic" w:cs="Traditional Arabic"/>
          <w:b/>
          <w:bCs/>
        </w:rPr>
        <w:t>2</w:t>
      </w:r>
      <w:r w:rsidRPr="00FB62C5">
        <w:rPr>
          <w:rFonts w:ascii="Traditional Arabic" w:hAnsi="Traditional Arabic" w:cs="Traditional Arabic" w:hint="cs"/>
          <w:b/>
          <w:bCs/>
        </w:rPr>
        <w:t xml:space="preserve"> Issue </w:t>
      </w:r>
      <w:r w:rsidR="00432F32">
        <w:rPr>
          <w:rFonts w:ascii="Traditional Arabic" w:hAnsi="Traditional Arabic" w:cs="Traditional Arabic"/>
          <w:b/>
          <w:bCs/>
        </w:rPr>
        <w:t>0</w:t>
      </w:r>
      <w:r w:rsidR="00F15462">
        <w:rPr>
          <w:rFonts w:ascii="Traditional Arabic" w:hAnsi="Traditional Arabic" w:cs="Traditional Arabic"/>
          <w:b/>
          <w:bCs/>
        </w:rPr>
        <w:t>2</w:t>
      </w:r>
      <w:r w:rsidRPr="00FB62C5">
        <w:rPr>
          <w:rFonts w:ascii="Traditional Arabic" w:hAnsi="Traditional Arabic" w:cs="Traditional Arabic" w:hint="cs"/>
          <w:b/>
          <w:bCs/>
        </w:rPr>
        <w:t xml:space="preserve"> (202</w:t>
      </w:r>
      <w:r w:rsidR="00355EE9">
        <w:rPr>
          <w:rFonts w:ascii="Traditional Arabic" w:hAnsi="Traditional Arabic" w:cs="Traditional Arabic"/>
          <w:b/>
          <w:bCs/>
        </w:rPr>
        <w:t>6</w:t>
      </w:r>
      <w:r w:rsidRPr="00FB62C5">
        <w:rPr>
          <w:rFonts w:ascii="Traditional Arabic" w:hAnsi="Traditional Arabic" w:cs="Traditional Arabic" w:hint="cs"/>
          <w:b/>
          <w:bCs/>
        </w:rPr>
        <w:t>)</w:t>
      </w:r>
    </w:p>
    <w:p w14:paraId="3491075F" w14:textId="338BCD68" w:rsidR="00C26B0B" w:rsidRPr="00AB4A23" w:rsidRDefault="00FB62C5" w:rsidP="00AB4A23">
      <w:pPr>
        <w:jc w:val="center"/>
        <w:rPr>
          <w:rFonts w:asciiTheme="majorBidi" w:hAnsiTheme="majorBidi" w:cstheme="majorBidi"/>
          <w:b/>
          <w:bCs/>
          <w:color w:val="00B0F0"/>
          <w:sz w:val="20"/>
          <w:szCs w:val="20"/>
          <w:u w:val="single"/>
        </w:rPr>
      </w:pPr>
      <w:r w:rsidRPr="00B60DD9">
        <w:rPr>
          <w:rFonts w:ascii="Traditional Arabic" w:hAnsi="Traditional Arabic" w:cs="Traditional Arabic" w:hint="cs"/>
          <w:b/>
          <w:bCs/>
          <w:noProof/>
          <w:color w:val="C9C9C9" w:themeColor="accent3" w:themeTint="99"/>
        </w:rPr>
        <mc:AlternateContent>
          <mc:Choice Requires="wps">
            <w:drawing>
              <wp:anchor distT="0" distB="0" distL="114300" distR="114300" simplePos="0" relativeHeight="251659264" behindDoc="0" locked="0" layoutInCell="1" allowOverlap="1" wp14:anchorId="017B1452" wp14:editId="6024766D">
                <wp:simplePos x="0" y="0"/>
                <wp:positionH relativeFrom="page">
                  <wp:posOffset>0</wp:posOffset>
                </wp:positionH>
                <wp:positionV relativeFrom="paragraph">
                  <wp:posOffset>277495</wp:posOffset>
                </wp:positionV>
                <wp:extent cx="7781925" cy="9525"/>
                <wp:effectExtent l="0" t="0" r="28575" b="28575"/>
                <wp:wrapNone/>
                <wp:docPr id="363413789" name="Straight Connector 3"/>
                <wp:cNvGraphicFramePr/>
                <a:graphic xmlns:a="http://schemas.openxmlformats.org/drawingml/2006/main">
                  <a:graphicData uri="http://schemas.microsoft.com/office/word/2010/wordprocessingShape">
                    <wps:wsp>
                      <wps:cNvCnPr/>
                      <wps:spPr>
                        <a:xfrm>
                          <a:off x="0" y="0"/>
                          <a:ext cx="7781925" cy="9525"/>
                        </a:xfrm>
                        <a:prstGeom prst="line">
                          <a:avLst/>
                        </a:prstGeom>
                        <a:ln>
                          <a:solidFill>
                            <a:srgbClr val="00B0F0"/>
                          </a:solidFill>
                          <a:headEnd type="none" w="med" len="med"/>
                          <a:tailEnd type="none" w="med" len="med"/>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761C58A6" id="Straight Connector 3" o:spid="_x0000_s1026" style="position:absolute;z-index:251659264;visibility:visible;mso-wrap-style:square;mso-wrap-distance-left:9pt;mso-wrap-distance-top:0;mso-wrap-distance-right:9pt;mso-wrap-distance-bottom:0;mso-position-horizontal:absolute;mso-position-horizontal-relative:page;mso-position-vertical:absolute;mso-position-vertical-relative:text" from="0,21.85pt" to="612.7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" strokecolor="#00b0f0" strokeweight="1.5pt">
                <v:stroke joinstyle="miter"/>
                <w10:wrap anchorx="page"/>
              </v:line>
            </w:pict>
          </mc:Fallback>
        </mc:AlternateContent>
      </w:r>
      <w:r w:rsidRPr="00FB62C5">
        <w:rPr>
          <w:rFonts w:asciiTheme="majorBidi" w:hAnsiTheme="majorBidi" w:cstheme="majorBidi"/>
          <w:color w:val="00B0F0"/>
          <w:sz w:val="22"/>
          <w:szCs w:val="22"/>
          <w:u w:val="single"/>
        </w:rPr>
        <w:t>http://fsrma.org.hostajournal.com/</w:t>
      </w:r>
      <w:r w:rsidRPr="00FB62C5">
        <w:rPr>
          <w:rFonts w:asciiTheme="majorBidi" w:hAnsiTheme="majorBidi" w:cstheme="majorBidi"/>
          <w:b/>
          <w:bCs/>
          <w:color w:val="00B0F0"/>
          <w:sz w:val="20"/>
          <w:szCs w:val="20"/>
          <w:u w:val="single"/>
        </w:rPr>
        <w:t xml:space="preserve"> </w:t>
      </w:r>
    </w:p>
    <w:p w14:paraId="0D37739D" w14:textId="77777777" w:rsidR="009B043D" w:rsidRDefault="009B043D" w:rsidP="008810CC">
      <w:pPr>
        <w:pStyle w:val="ListParagraph"/>
        <w:spacing w:after="0" w:line="240" w:lineRule="auto"/>
        <w:jc w:val="center"/>
        <w:rPr>
          <w:rFonts w:ascii="Times New Roman" w:hAnsi="Times New Roman" w:cs="Times New Roman"/>
          <w:b/>
          <w:bCs/>
          <w:sz w:val="32"/>
          <w:szCs w:val="32"/>
        </w:rPr>
      </w:pPr>
      <w:r w:rsidRPr="009B043D">
        <w:rPr>
          <w:rFonts w:ascii="Times New Roman" w:hAnsi="Times New Roman" w:cs="Times New Roman"/>
          <w:b/>
          <w:bCs/>
          <w:sz w:val="32"/>
          <w:szCs w:val="32"/>
        </w:rPr>
        <w:t>DAREA: A Dynamic AI-Driven Architecture for Real Estate Asset Tokenization on Blockchain</w:t>
      </w:r>
    </w:p>
    <w:p w14:paraId="49DA3784" w14:textId="77777777" w:rsidR="009B043D" w:rsidRPr="009B043D" w:rsidRDefault="009B043D" w:rsidP="009B043D">
      <w:pPr>
        <w:pStyle w:val="ListParagraph"/>
        <w:spacing w:after="0" w:line="240" w:lineRule="auto"/>
        <w:jc w:val="center"/>
        <w:rPr>
          <w:rFonts w:ascii="Times New Roman" w:hAnsi="Times New Roman" w:cs="Times New Roman"/>
          <w:b/>
          <w:bCs/>
          <w:i/>
          <w:iCs/>
        </w:rPr>
      </w:pPr>
      <w:r w:rsidRPr="009B043D">
        <w:rPr>
          <w:rFonts w:ascii="Times New Roman" w:hAnsi="Times New Roman" w:cs="Times New Roman"/>
          <w:b/>
          <w:bCs/>
          <w:i/>
          <w:iCs/>
        </w:rPr>
        <w:t>Qinhe Zhao</w:t>
      </w:r>
    </w:p>
    <w:p w14:paraId="5390A2A3" w14:textId="77777777" w:rsidR="009B043D" w:rsidRPr="009B043D" w:rsidRDefault="009B043D" w:rsidP="009B043D">
      <w:pPr>
        <w:pStyle w:val="ListParagraph"/>
        <w:spacing w:after="0" w:line="240" w:lineRule="auto"/>
        <w:jc w:val="center"/>
        <w:rPr>
          <w:rFonts w:ascii="Times New Roman" w:hAnsi="Times New Roman" w:cs="Times New Roman"/>
          <w:i/>
          <w:iCs/>
        </w:rPr>
      </w:pPr>
      <w:r w:rsidRPr="009B043D">
        <w:rPr>
          <w:rFonts w:ascii="Times New Roman" w:hAnsi="Times New Roman" w:cs="Times New Roman"/>
          <w:i/>
          <w:iCs/>
        </w:rPr>
        <w:t>Beijing Jiaotong University, Beijing, China</w:t>
      </w:r>
    </w:p>
    <w:p w14:paraId="6EBC1F54" w14:textId="77777777" w:rsidR="009B043D" w:rsidRPr="009B043D" w:rsidRDefault="009B043D" w:rsidP="009B043D">
      <w:pPr>
        <w:pStyle w:val="ListParagraph"/>
        <w:spacing w:after="0" w:line="240" w:lineRule="auto"/>
        <w:jc w:val="center"/>
        <w:rPr>
          <w:rFonts w:ascii="Times New Roman" w:hAnsi="Times New Roman" w:cs="Times New Roman"/>
          <w:i/>
          <w:iCs/>
        </w:rPr>
      </w:pPr>
      <w:r w:rsidRPr="009B043D">
        <w:rPr>
          <w:rFonts w:ascii="Times New Roman" w:hAnsi="Times New Roman" w:cs="Times New Roman"/>
          <w:i/>
          <w:iCs/>
        </w:rPr>
        <w:t xml:space="preserve"> 1872863895@qq.com</w:t>
      </w:r>
    </w:p>
    <w:p w14:paraId="420ACABC" w14:textId="77777777" w:rsidR="009B043D" w:rsidRPr="009B043D" w:rsidRDefault="009B043D" w:rsidP="009B043D">
      <w:pPr>
        <w:pStyle w:val="ListParagraph"/>
        <w:spacing w:after="0" w:line="240" w:lineRule="auto"/>
        <w:jc w:val="center"/>
        <w:rPr>
          <w:rFonts w:ascii="Times New Roman" w:hAnsi="Times New Roman" w:cs="Times New Roman"/>
          <w:b/>
          <w:bCs/>
          <w:i/>
          <w:iCs/>
        </w:rPr>
      </w:pPr>
      <w:r w:rsidRPr="009B043D">
        <w:rPr>
          <w:rFonts w:ascii="Times New Roman" w:hAnsi="Times New Roman" w:cs="Times New Roman"/>
          <w:b/>
          <w:bCs/>
          <w:i/>
          <w:iCs/>
        </w:rPr>
        <w:t>Yuheng Huang</w:t>
      </w:r>
    </w:p>
    <w:p w14:paraId="07CAFD89" w14:textId="77777777" w:rsidR="009B043D" w:rsidRDefault="009B043D" w:rsidP="009B043D">
      <w:pPr>
        <w:pStyle w:val="ListParagraph"/>
        <w:spacing w:after="0" w:line="240" w:lineRule="auto"/>
        <w:jc w:val="center"/>
        <w:rPr>
          <w:rFonts w:ascii="Times New Roman" w:hAnsi="Times New Roman" w:cs="Times New Roman"/>
          <w:i/>
          <w:iCs/>
        </w:rPr>
      </w:pPr>
      <w:r w:rsidRPr="009B043D">
        <w:rPr>
          <w:rFonts w:ascii="Times New Roman" w:hAnsi="Times New Roman" w:cs="Times New Roman"/>
          <w:b/>
          <w:bCs/>
          <w:i/>
          <w:iCs/>
        </w:rPr>
        <w:t xml:space="preserve"> </w:t>
      </w:r>
      <w:r w:rsidRPr="009B043D">
        <w:rPr>
          <w:rFonts w:ascii="Times New Roman" w:hAnsi="Times New Roman" w:cs="Times New Roman"/>
          <w:i/>
          <w:iCs/>
        </w:rPr>
        <w:t xml:space="preserve">University of California Berkeley, Berkeley, CA, USA </w:t>
      </w:r>
    </w:p>
    <w:p w14:paraId="65F34A79" w14:textId="145E7C15" w:rsidR="00C26B0B" w:rsidRPr="009B043D" w:rsidRDefault="009B043D" w:rsidP="009B043D">
      <w:pPr>
        <w:pStyle w:val="ListParagraph"/>
        <w:spacing w:after="0" w:line="240" w:lineRule="auto"/>
        <w:jc w:val="center"/>
        <w:rPr>
          <w:rFonts w:ascii="Times New Roman" w:hAnsi="Times New Roman" w:cs="Times New Roman"/>
          <w:i/>
          <w:iCs/>
          <w:color w:val="000000" w:themeColor="text1"/>
        </w:rPr>
      </w:pPr>
      <w:r w:rsidRPr="009B043D">
        <w:rPr>
          <w:rFonts w:ascii="Times New Roman" w:hAnsi="Times New Roman" w:cs="Times New Roman"/>
          <w:i/>
          <w:iCs/>
        </w:rPr>
        <w:t>huangyuheng1126@berkeley.edu</w:t>
      </w:r>
    </w:p>
    <w:tbl>
      <w:tblPr>
        <w:tblStyle w:val="ListTable2-Accent3"/>
        <w:tblW w:w="10530" w:type="dxa"/>
        <w:tblInd w:w="-180" w:type="dxa"/>
        <w:tblLook w:val="04A0" w:firstRow="1" w:lastRow="0" w:firstColumn="1" w:lastColumn="0" w:noHBand="0" w:noVBand="1"/>
      </w:tblPr>
      <w:tblGrid>
        <w:gridCol w:w="8100"/>
        <w:gridCol w:w="360"/>
        <w:gridCol w:w="2070"/>
      </w:tblGrid>
      <w:tr w:rsidR="00E80F4D" w14:paraId="7096A513" w14:textId="77777777" w:rsidTr="00844793">
        <w:trPr>
          <w:cnfStyle w:val="100000000000" w:firstRow="1" w:lastRow="0" w:firstColumn="0" w:lastColumn="0" w:oddVBand="0" w:evenVBand="0" w:oddHBand="0" w:evenHBand="0" w:firstRowFirstColumn="0" w:firstRowLastColumn="0" w:lastRowFirstColumn="0" w:lastRowLastColumn="0"/>
          <w:trHeight w:val="3815"/>
        </w:trPr>
        <w:tc>
          <w:tcPr>
            <w:cnfStyle w:val="001000000000" w:firstRow="0" w:lastRow="0" w:firstColumn="1" w:lastColumn="0" w:oddVBand="0" w:evenVBand="0" w:oddHBand="0" w:evenHBand="0" w:firstRowFirstColumn="0" w:firstRowLastColumn="0" w:lastRowFirstColumn="0" w:lastRowLastColumn="0"/>
            <w:tcW w:w="8100" w:type="dxa"/>
          </w:tcPr>
          <w:p w14:paraId="3F0CBD08" w14:textId="743EC9E9" w:rsidR="00E80F4D" w:rsidRPr="00E31CE3" w:rsidRDefault="00E80F4D" w:rsidP="00844793">
            <w:pPr>
              <w:ind w:right="-1165"/>
              <w:rPr>
                <w:rFonts w:ascii="Times New Roman" w:hAnsi="Times New Roman" w:cs="Times New Roman"/>
                <w:color w:val="00B0F0"/>
              </w:rPr>
            </w:pPr>
            <w:r w:rsidRPr="00FB62C5">
              <w:rPr>
                <w:rFonts w:ascii="Times New Roman" w:hAnsi="Times New Roman" w:cs="Times New Roman"/>
                <w:color w:val="00B0F0"/>
              </w:rPr>
              <w:t>Abstract.</w:t>
            </w:r>
          </w:p>
          <w:p w14:paraId="66BCAE8D" w14:textId="1ABA3F18" w:rsidR="007A2724" w:rsidRPr="00712971" w:rsidRDefault="009B043D" w:rsidP="000C7C79">
            <w:pPr>
              <w:ind w:right="161"/>
              <w:jc w:val="both"/>
              <w:rPr>
                <w:rFonts w:ascii="Times New Roman" w:hAnsi="Times New Roman" w:cs="Times New Roman"/>
                <w:b w:val="0"/>
                <w:bCs w:val="0"/>
                <w:i/>
                <w:iCs/>
                <w:color w:val="A5A5A5" w:themeColor="accent3"/>
                <w14:textFill>
                  <w14:gradFill>
                    <w14:gsLst>
                      <w14:gs w14:pos="0">
                        <w14:schemeClr w14:val="accent3">
                          <w14:lumMod w14:val="75000"/>
                          <w14:shade w14:val="30000"/>
                          <w14:satMod w14:val="115000"/>
                        </w14:schemeClr>
                      </w14:gs>
                      <w14:gs w14:pos="50000">
                        <w14:schemeClr w14:val="accent3">
                          <w14:lumMod w14:val="75000"/>
                          <w14:shade w14:val="67500"/>
                          <w14:satMod w14:val="115000"/>
                        </w14:schemeClr>
                      </w14:gs>
                      <w14:gs w14:pos="100000">
                        <w14:schemeClr w14:val="accent3">
                          <w14:lumMod w14:val="75000"/>
                          <w14:shade w14:val="100000"/>
                          <w14:satMod w14:val="115000"/>
                        </w14:schemeClr>
                      </w14:gs>
                    </w14:gsLst>
                    <w14:lin w14:ang="13500000" w14:scaled="0"/>
                  </w14:gradFill>
                </w14:textFill>
              </w:rPr>
            </w:pPr>
            <w:r w:rsidRPr="009B043D">
              <w:rPr>
                <w:rFonts w:ascii="Times New Roman" w:hAnsi="Times New Roman" w:cs="Times New Roman"/>
                <w:b w:val="0"/>
                <w:bCs w:val="0"/>
                <w:i/>
                <w:iCs/>
              </w:rPr>
              <w:t>The tokenization of real-world real estate assets (RWA) has emerged as a promising approach to improving market liquidity, transparency, and fractional ownership accessibility. However, existing tokenization frameworks lack dynamic and trustworthy asset valuation mechanisms capable of adapting to real-time market changes, leading to pricing distortions and limited utility of RWA tokens. To address these gaps, we propose DAREA (Dynamic AI-driven Real Estate Asset Tokenization Architecture), a hybrid AI-blockchain framework that integrates transformer-based temporal value prediction, XGBoost structural valuation, and an on-chain smart contract system enabling autonomous token generation, net-asset-value (NAV) updates, and rebase-based price stabilization. DAREA employs a dual-channel valuation model combining static property attributes with multi-frequency temporal market features, while a hybrid push-pull Oracle mechanism ensures secure and continuous on-chain price feeding. Moreover, DAREA incorporates a blockchain-to-AI feedback loop in which token trading dynamics refine the valuation model over time. Experiments on multi-city real-estate transaction datasets show that DAREA achieves substantially higher valuation precision and on-chain pricing stability compared with state-of-the-art baselines. The model reduces RMSE by over 12% relative to the strongest competitor and lowers token price volatility by nearly 29% under simulated market dynamics. These results confirm DAREA’s effectiveness in generating accurate valuations and maintaining stable tokenized representations of real-estate assets on blockchain networks</w:t>
            </w:r>
            <w:r w:rsidR="008810CC" w:rsidRPr="008810CC">
              <w:rPr>
                <w:rFonts w:ascii="Times New Roman" w:hAnsi="Times New Roman" w:cs="Times New Roman"/>
                <w:b w:val="0"/>
                <w:bCs w:val="0"/>
                <w:i/>
                <w:iCs/>
              </w:rPr>
              <w:t>.</w:t>
            </w:r>
          </w:p>
        </w:tc>
        <w:tc>
          <w:tcPr>
            <w:tcW w:w="360" w:type="dxa"/>
          </w:tcPr>
          <w:p w14:paraId="4A6FA200" w14:textId="77777777" w:rsidR="00E80F4D" w:rsidRPr="00FB62C5" w:rsidRDefault="00E80F4D" w:rsidP="00844793">
            <w:pPr>
              <w:ind w:left="118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color w:val="00B0F0"/>
              </w:rPr>
            </w:pPr>
          </w:p>
        </w:tc>
        <w:tc>
          <w:tcPr>
            <w:tcW w:w="2070" w:type="dxa"/>
          </w:tcPr>
          <w:p w14:paraId="05A5A506" w14:textId="44514BCD" w:rsidR="00E80F4D" w:rsidRPr="007B2272" w:rsidRDefault="00E80F4D" w:rsidP="008447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B0F0"/>
              </w:rPr>
            </w:pPr>
            <w:r w:rsidRPr="00FB62C5">
              <w:rPr>
                <w:rFonts w:ascii="Times New Roman" w:hAnsi="Times New Roman" w:cs="Times New Roman"/>
                <w:i/>
                <w:iCs/>
                <w:color w:val="00B0F0"/>
              </w:rPr>
              <w:t>Keywords:</w:t>
            </w:r>
          </w:p>
          <w:p w14:paraId="49A8ECF1" w14:textId="0EDC31B6" w:rsidR="00E80F4D" w:rsidRPr="007B2272" w:rsidRDefault="009B043D" w:rsidP="00844793">
            <w:pPr>
              <w:ind w:left="1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B0F0"/>
              </w:rPr>
            </w:pPr>
            <w:r w:rsidRPr="009B043D">
              <w:rPr>
                <w:rFonts w:ascii="Times New Roman" w:hAnsi="Times New Roman" w:cs="Times New Roman"/>
                <w:b w:val="0"/>
                <w:bCs w:val="0"/>
                <w:i/>
                <w:iCs/>
              </w:rPr>
              <w:t>Real-world asset (RWA) tokenization; Real estate valuation; Blockchain; Transformer; XGBoost; Smart contracts; Oracle; Digital assets</w:t>
            </w:r>
          </w:p>
        </w:tc>
      </w:tr>
    </w:tbl>
    <w:p w14:paraId="27D07FA5" w14:textId="02EC2F97" w:rsidR="00844793" w:rsidRPr="00844793" w:rsidRDefault="00844793" w:rsidP="00844793">
      <w:pPr>
        <w:pStyle w:val="Heading1"/>
        <w:spacing w:before="0" w:after="0" w:line="240" w:lineRule="auto"/>
        <w:jc w:val="both"/>
        <w:rPr>
          <w:rFonts w:ascii="Times New Roman" w:hAnsi="Times New Roman" w:cs="Times New Roman"/>
          <w:b/>
          <w:bCs/>
          <w:color w:val="000000" w:themeColor="text1"/>
          <w:sz w:val="24"/>
          <w:szCs w:val="24"/>
        </w:rPr>
      </w:pPr>
      <w:r w:rsidRPr="00844793">
        <w:rPr>
          <w:rFonts w:ascii="Times New Roman" w:hAnsi="Times New Roman" w:cs="Times New Roman"/>
          <w:b/>
          <w:bCs/>
          <w:color w:val="000000" w:themeColor="text1"/>
          <w:sz w:val="24"/>
          <w:szCs w:val="24"/>
          <w:lang w:eastAsia="zh-CN"/>
        </w:rPr>
        <w:t>1. INTRODUCTION</w:t>
      </w:r>
    </w:p>
    <w:p w14:paraId="0546743A" w14:textId="77777777" w:rsidR="009B043D" w:rsidRDefault="009B043D" w:rsidP="009B043D">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 xml:space="preserve">Real estate represents one of the largest yet least liquid asset classes worldwide. Traditional property investment remains constrained by high entry barriers, opaque valuation processes, and limited opportunities for fractional ownership. In recent years, the concept of real-world asset (RWA) tokenization has gained increasing traction as a mechanism to transform physical assets into blockchain-based digital tokens, enabling enhanced liquidity, transparent ownership tracking, and programmable financial interactions. Despite this progress, existing real estate tokenization systems generally rely on infrequent manual appraisals or simplified pricing formulas, which cannot adequately reflect rapid market fluctuations or heterogeneous property attributes. As a result, the token price often deviates from the fair value of the underlying asset, undermining </w:t>
      </w:r>
      <w:r w:rsidRPr="009B043D">
        <w:rPr>
          <w:rFonts w:ascii="Times New Roman" w:eastAsia="SimSun" w:hAnsi="Times New Roman" w:cs="Times New Roman"/>
          <w:snapToGrid w:val="0"/>
          <w:color w:val="000000" w:themeColor="text1"/>
          <w:kern w:val="0"/>
          <w14:ligatures w14:val="none"/>
        </w:rPr>
        <w:lastRenderedPageBreak/>
        <w:t>investor trust and limiting the practical adoption of tokenized real estate products.</w:t>
      </w:r>
      <w:r>
        <w:rPr>
          <w:rFonts w:ascii="Times New Roman" w:hAnsi="Times New Roman" w:cs="Times New Roman"/>
          <w:snapToGrid w:val="0"/>
          <w:color w:val="000000" w:themeColor="text1"/>
          <w:kern w:val="0"/>
        </w:rPr>
        <w:t xml:space="preserve"> </w:t>
      </w:r>
      <w:r w:rsidRPr="009B043D">
        <w:rPr>
          <w:rFonts w:ascii="Times New Roman" w:eastAsia="SimSun" w:hAnsi="Times New Roman" w:cs="Times New Roman"/>
          <w:snapToGrid w:val="0"/>
          <w:color w:val="000000" w:themeColor="text1"/>
          <w:kern w:val="0"/>
          <w14:ligatures w14:val="none"/>
        </w:rPr>
        <w:t>With the advancement of AI-driven valuation technologies, particularly machine learning models such as XGBoost and deep learning models such as Transformer networks, accurate and dynamic property valuation has become increasingly feasible. Meanwhile, blockchain platforms—especially Ethereum Layer-2 and next-generation high-performance chains—provide programmable smart contract infrastructures capable of automating token minting, value updates, and market operations. Integrating these two technological paradigms offers a promising pathway to establishing a trustworthy and adaptive RWA tokenization ecosystem.</w:t>
      </w:r>
      <w:r>
        <w:rPr>
          <w:rFonts w:ascii="Times New Roman" w:hAnsi="Times New Roman" w:cs="Times New Roman"/>
          <w:snapToGrid w:val="0"/>
          <w:color w:val="000000" w:themeColor="text1"/>
          <w:kern w:val="0"/>
        </w:rPr>
        <w:t xml:space="preserve"> </w:t>
      </w:r>
      <w:r w:rsidRPr="009B043D">
        <w:rPr>
          <w:rFonts w:ascii="Times New Roman" w:eastAsia="SimSun" w:hAnsi="Times New Roman" w:cs="Times New Roman"/>
          <w:snapToGrid w:val="0"/>
          <w:color w:val="000000" w:themeColor="text1"/>
          <w:kern w:val="0"/>
          <w14:ligatures w14:val="none"/>
        </w:rPr>
        <w:t>To address the limitations of existing frameworks, this study proposes DAREA (Dynamic AI-Driven Real Estate Asset Tokenization Architecture), a unified system that tightly couples AI-based real estate valuation with on-chain token lifecycle management. DAREA constructs structured digital twins of physical properties, performs dual-channel valuation through XGBoost-based structural estimation and Transformer-based temporal prediction, and feeds the resulting fair values to blockchain smart contracts through a hybrid Oracle mechanism. The smart contract layer supports automated token generation, periodic net-asset-value updates, and rebase-based supply adjustments under extreme market conditions. Furthermore, transaction patterns from the blockchain are fed back into the valuation model to form a closed-loop, continually calibrated pricing system.</w:t>
      </w:r>
      <w:r>
        <w:rPr>
          <w:rFonts w:ascii="Times New Roman" w:hAnsi="Times New Roman" w:cs="Times New Roman"/>
          <w:snapToGrid w:val="0"/>
          <w:color w:val="000000" w:themeColor="text1"/>
          <w:kern w:val="0"/>
        </w:rPr>
        <w:t xml:space="preserve"> </w:t>
      </w:r>
    </w:p>
    <w:p w14:paraId="2EC3C325" w14:textId="77777777" w:rsidR="00212957" w:rsidRDefault="009B043D" w:rsidP="009B043D">
      <w:pPr>
        <w:suppressAutoHyphens/>
        <w:adjustRightInd w:val="0"/>
        <w:snapToGrid w:val="0"/>
        <w:spacing w:after="0" w:line="240" w:lineRule="auto"/>
        <w:jc w:val="both"/>
        <w:rPr>
          <w:rFonts w:ascii="Times New Roman" w:eastAsia="SimSun" w:hAnsi="Times New Roman" w:cs="Times New Roman"/>
          <w:snapToGrid w:val="0"/>
          <w:color w:val="000000" w:themeColor="text1"/>
          <w:kern w:val="0"/>
          <w14:ligatures w14:val="none"/>
        </w:rPr>
      </w:pPr>
      <w:r w:rsidRPr="009B043D">
        <w:rPr>
          <w:rFonts w:ascii="Times New Roman" w:eastAsia="SimSun" w:hAnsi="Times New Roman" w:cs="Times New Roman"/>
          <w:snapToGrid w:val="0"/>
          <w:color w:val="000000" w:themeColor="text1"/>
          <w:kern w:val="0"/>
          <w14:ligatures w14:val="none"/>
        </w:rPr>
        <w:t>The main contributions of this paper are as follows:</w:t>
      </w:r>
      <w:r w:rsidRPr="009B043D">
        <w:rPr>
          <w:rFonts w:ascii="Times New Roman" w:eastAsia="SimSun" w:hAnsi="Times New Roman" w:cs="Times New Roman"/>
          <w:snapToGrid w:val="0"/>
          <w:color w:val="000000" w:themeColor="text1"/>
          <w:kern w:val="0"/>
          <w14:ligatures w14:val="none"/>
        </w:rPr>
        <w:br/>
      </w:r>
      <w:r w:rsidRPr="009B043D">
        <w:rPr>
          <w:rFonts w:ascii="Times New Roman" w:eastAsia="SimSun" w:hAnsi="Times New Roman" w:cs="Times New Roman"/>
          <w:b/>
          <w:bCs/>
          <w:snapToGrid w:val="0"/>
          <w:color w:val="000000" w:themeColor="text1"/>
          <w:kern w:val="0"/>
          <w14:ligatures w14:val="none"/>
        </w:rPr>
        <w:t>(1)</w:t>
      </w:r>
      <w:r w:rsidRPr="009B043D">
        <w:rPr>
          <w:rFonts w:ascii="Times New Roman" w:eastAsia="SimSun" w:hAnsi="Times New Roman" w:cs="Times New Roman"/>
          <w:snapToGrid w:val="0"/>
          <w:color w:val="000000" w:themeColor="text1"/>
          <w:kern w:val="0"/>
          <w14:ligatures w14:val="none"/>
        </w:rPr>
        <w:t xml:space="preserve"> We present DAREA, a novel dynamic AI-driven architecture for real estate RWA tokenization that integrates valuation, tokenization, and on-chain price adjustment into a single coherent framework.</w:t>
      </w:r>
      <w:r w:rsidRPr="009B043D">
        <w:rPr>
          <w:rFonts w:ascii="Times New Roman" w:eastAsia="SimSun" w:hAnsi="Times New Roman" w:cs="Times New Roman"/>
          <w:snapToGrid w:val="0"/>
          <w:color w:val="000000" w:themeColor="text1"/>
          <w:kern w:val="0"/>
          <w14:ligatures w14:val="none"/>
        </w:rPr>
        <w:br/>
      </w:r>
      <w:r w:rsidRPr="009B043D">
        <w:rPr>
          <w:rFonts w:ascii="Times New Roman" w:eastAsia="SimSun" w:hAnsi="Times New Roman" w:cs="Times New Roman"/>
          <w:b/>
          <w:bCs/>
          <w:snapToGrid w:val="0"/>
          <w:color w:val="000000" w:themeColor="text1"/>
          <w:kern w:val="0"/>
          <w14:ligatures w14:val="none"/>
        </w:rPr>
        <w:t>(2)</w:t>
      </w:r>
      <w:r w:rsidRPr="009B043D">
        <w:rPr>
          <w:rFonts w:ascii="Times New Roman" w:eastAsia="SimSun" w:hAnsi="Times New Roman" w:cs="Times New Roman"/>
          <w:snapToGrid w:val="0"/>
          <w:color w:val="000000" w:themeColor="text1"/>
          <w:kern w:val="0"/>
          <w14:ligatures w14:val="none"/>
        </w:rPr>
        <w:t xml:space="preserve"> We develop a dual-channel valuation model combining XGBoost structural estimation with Transformer temporal forecasting to achieve accurate, real-time property pricing.</w:t>
      </w:r>
    </w:p>
    <w:p w14:paraId="67D4034D" w14:textId="77777777" w:rsidR="00212957" w:rsidRDefault="00212957" w:rsidP="009B043D">
      <w:pPr>
        <w:suppressAutoHyphens/>
        <w:adjustRightInd w:val="0"/>
        <w:snapToGrid w:val="0"/>
        <w:spacing w:after="0" w:line="240" w:lineRule="auto"/>
        <w:jc w:val="both"/>
        <w:rPr>
          <w:rFonts w:ascii="Times New Roman" w:eastAsia="SimSun" w:hAnsi="Times New Roman" w:cs="Times New Roman"/>
          <w:b/>
          <w:bCs/>
          <w:snapToGrid w:val="0"/>
          <w:color w:val="000000" w:themeColor="text1"/>
          <w:kern w:val="0"/>
          <w14:ligatures w14:val="none"/>
        </w:rPr>
      </w:pPr>
      <w:r w:rsidRPr="009B043D">
        <w:rPr>
          <w:rFonts w:ascii="Times New Roman" w:eastAsia="SimSun" w:hAnsi="Times New Roman" w:cs="Times New Roman"/>
          <w:b/>
          <w:bCs/>
          <w:snapToGrid w:val="0"/>
          <w:color w:val="000000" w:themeColor="text1"/>
          <w:kern w:val="0"/>
          <w14:ligatures w14:val="none"/>
        </w:rPr>
        <w:t xml:space="preserve"> </w:t>
      </w:r>
      <w:r w:rsidR="009B043D" w:rsidRPr="009B043D">
        <w:rPr>
          <w:rFonts w:ascii="Times New Roman" w:eastAsia="SimSun" w:hAnsi="Times New Roman" w:cs="Times New Roman"/>
          <w:b/>
          <w:bCs/>
          <w:snapToGrid w:val="0"/>
          <w:color w:val="000000" w:themeColor="text1"/>
          <w:kern w:val="0"/>
          <w14:ligatures w14:val="none"/>
        </w:rPr>
        <w:t>(3)</w:t>
      </w:r>
      <w:r w:rsidR="009B043D" w:rsidRPr="009B043D">
        <w:rPr>
          <w:rFonts w:ascii="Times New Roman" w:eastAsia="SimSun" w:hAnsi="Times New Roman" w:cs="Times New Roman"/>
          <w:snapToGrid w:val="0"/>
          <w:color w:val="000000" w:themeColor="text1"/>
          <w:kern w:val="0"/>
          <w14:ligatures w14:val="none"/>
        </w:rPr>
        <w:t xml:space="preserve"> We design a smart-contract-based token lifecycle mechanism featuring NAV synchronization and threshold-triggered rebase operations.</w:t>
      </w:r>
      <w:r w:rsidRPr="009B043D">
        <w:rPr>
          <w:rFonts w:ascii="Times New Roman" w:eastAsia="SimSun" w:hAnsi="Times New Roman" w:cs="Times New Roman"/>
          <w:b/>
          <w:bCs/>
          <w:snapToGrid w:val="0"/>
          <w:color w:val="000000" w:themeColor="text1"/>
          <w:kern w:val="0"/>
          <w14:ligatures w14:val="none"/>
        </w:rPr>
        <w:t xml:space="preserve"> </w:t>
      </w:r>
    </w:p>
    <w:p w14:paraId="5BB7A01A" w14:textId="77777777" w:rsidR="00212957" w:rsidRDefault="009B043D" w:rsidP="009B043D">
      <w:pPr>
        <w:suppressAutoHyphens/>
        <w:adjustRightInd w:val="0"/>
        <w:snapToGrid w:val="0"/>
        <w:spacing w:after="0" w:line="240" w:lineRule="auto"/>
        <w:jc w:val="both"/>
        <w:rPr>
          <w:rFonts w:ascii="Times New Roman" w:eastAsia="SimSun" w:hAnsi="Times New Roman" w:cs="Times New Roman"/>
          <w:snapToGrid w:val="0"/>
          <w:color w:val="000000" w:themeColor="text1"/>
          <w:kern w:val="0"/>
          <w14:ligatures w14:val="none"/>
        </w:rPr>
      </w:pPr>
      <w:r w:rsidRPr="009B043D">
        <w:rPr>
          <w:rFonts w:ascii="Times New Roman" w:eastAsia="SimSun" w:hAnsi="Times New Roman" w:cs="Times New Roman"/>
          <w:b/>
          <w:bCs/>
          <w:snapToGrid w:val="0"/>
          <w:color w:val="000000" w:themeColor="text1"/>
          <w:kern w:val="0"/>
          <w14:ligatures w14:val="none"/>
        </w:rPr>
        <w:t>(4)</w:t>
      </w:r>
      <w:r w:rsidRPr="009B043D">
        <w:rPr>
          <w:rFonts w:ascii="Times New Roman" w:eastAsia="SimSun" w:hAnsi="Times New Roman" w:cs="Times New Roman"/>
          <w:snapToGrid w:val="0"/>
          <w:color w:val="000000" w:themeColor="text1"/>
          <w:kern w:val="0"/>
          <w14:ligatures w14:val="none"/>
        </w:rPr>
        <w:t xml:space="preserve"> We propose a hybrid push-pull Oracle protocol for secure and efficient transmission of AI valuation results to the blockchain.</w:t>
      </w:r>
    </w:p>
    <w:p w14:paraId="74704521" w14:textId="4B8F8394" w:rsidR="009B043D" w:rsidRPr="009B043D" w:rsidRDefault="00212957" w:rsidP="009B043D">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b/>
          <w:bCs/>
          <w:snapToGrid w:val="0"/>
          <w:color w:val="000000" w:themeColor="text1"/>
          <w:kern w:val="0"/>
          <w14:ligatures w14:val="none"/>
        </w:rPr>
        <w:t xml:space="preserve"> </w:t>
      </w:r>
      <w:r w:rsidR="009B043D" w:rsidRPr="009B043D">
        <w:rPr>
          <w:rFonts w:ascii="Times New Roman" w:eastAsia="SimSun" w:hAnsi="Times New Roman" w:cs="Times New Roman"/>
          <w:b/>
          <w:bCs/>
          <w:snapToGrid w:val="0"/>
          <w:color w:val="000000" w:themeColor="text1"/>
          <w:kern w:val="0"/>
          <w14:ligatures w14:val="none"/>
        </w:rPr>
        <w:t>(5)</w:t>
      </w:r>
      <w:r w:rsidR="009B043D" w:rsidRPr="009B043D">
        <w:rPr>
          <w:rFonts w:ascii="Times New Roman" w:eastAsia="SimSun" w:hAnsi="Times New Roman" w:cs="Times New Roman"/>
          <w:snapToGrid w:val="0"/>
          <w:color w:val="000000" w:themeColor="text1"/>
          <w:kern w:val="0"/>
          <w14:ligatures w14:val="none"/>
        </w:rPr>
        <w:t xml:space="preserve"> We validate the framework through extensive experiments demonstrating improved valuation accuracy and enhanced token price stability.</w:t>
      </w:r>
    </w:p>
    <w:p w14:paraId="1218EE5D" w14:textId="7A31E498" w:rsidR="009B043D" w:rsidRPr="009B043D" w:rsidRDefault="009B043D" w:rsidP="009B043D">
      <w:pPr>
        <w:pStyle w:val="Heading1"/>
        <w:suppressAutoHyphens/>
        <w:adjustRightInd w:val="0"/>
        <w:snapToGrid w:val="0"/>
        <w:spacing w:before="0" w:after="0" w:line="240" w:lineRule="auto"/>
        <w:jc w:val="both"/>
        <w:rPr>
          <w:rFonts w:ascii="Times New Roman" w:eastAsia="SimSun" w:hAnsi="Times New Roman" w:cs="Times New Roman"/>
          <w:b/>
          <w:snapToGrid w:val="0"/>
          <w:color w:val="000000" w:themeColor="text1"/>
          <w:sz w:val="24"/>
          <w:szCs w:val="24"/>
        </w:rPr>
      </w:pPr>
      <w:r>
        <w:rPr>
          <w:rFonts w:ascii="Times New Roman" w:eastAsia="SimSun" w:hAnsi="Times New Roman" w:cs="Times New Roman"/>
          <w:b/>
          <w:snapToGrid w:val="0"/>
          <w:color w:val="000000" w:themeColor="text1"/>
          <w:sz w:val="24"/>
          <w:szCs w:val="24"/>
          <w:lang w:eastAsia="zh-CN"/>
        </w:rPr>
        <w:t>2.</w:t>
      </w:r>
      <w:r w:rsidRPr="009B043D">
        <w:rPr>
          <w:rFonts w:ascii="Times New Roman" w:eastAsia="SimSun" w:hAnsi="Times New Roman" w:cs="Times New Roman"/>
          <w:b/>
          <w:snapToGrid w:val="0"/>
          <w:color w:val="000000" w:themeColor="text1"/>
          <w:sz w:val="24"/>
          <w:szCs w:val="24"/>
          <w:lang w:eastAsia="zh-CN"/>
        </w:rPr>
        <w:t>Related Work</w:t>
      </w:r>
    </w:p>
    <w:p w14:paraId="617D2480" w14:textId="77777777" w:rsidR="009B043D" w:rsidRPr="009B043D" w:rsidRDefault="009B043D" w:rsidP="009B043D">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Research on blockchain‐enabled real estate tokenization and AI-based valuation models has expanded rapidly in recent years, driven by the increasing demand for transparent, efficient, and fractionalized asset management systems. This section reviews three major lines of work closely related to our study: (i) blockchain-based real estate tokenization frameworks, (ii) AI-driven real estate valuation and predictive analytics, and (iii) hybrid blockchain–AI architectures for asset digitization and decentralized finance (DeFi). These research domains collectively establish the foundation upon which our proposed DAREA architecture is developed.</w:t>
      </w:r>
    </w:p>
    <w:p w14:paraId="18EE1D9E" w14:textId="77777777" w:rsidR="009B043D" w:rsidRPr="009B043D" w:rsidRDefault="009B043D" w:rsidP="009B043D">
      <w:pPr>
        <w:keepNext/>
        <w:keepLines/>
        <w:numPr>
          <w:ilvl w:val="1"/>
          <w:numId w:val="0"/>
        </w:numPr>
        <w:tabs>
          <w:tab w:val="left" w:pos="0"/>
        </w:tabs>
        <w:suppressAutoHyphens/>
        <w:adjustRightInd w:val="0"/>
        <w:snapToGrid w:val="0"/>
        <w:spacing w:after="0" w:line="240" w:lineRule="auto"/>
        <w:jc w:val="both"/>
        <w:outlineLvl w:val="1"/>
        <w:rPr>
          <w:rFonts w:ascii="Times New Roman" w:hAnsi="Times New Roman" w:cs="Times New Roman"/>
          <w:b/>
          <w:bCs/>
          <w:iCs/>
          <w:snapToGrid w:val="0"/>
          <w:color w:val="000000" w:themeColor="text1"/>
          <w:kern w:val="0"/>
        </w:rPr>
      </w:pPr>
      <w:r w:rsidRPr="009B043D">
        <w:rPr>
          <w:rFonts w:ascii="Times New Roman" w:hAnsi="Times New Roman" w:cs="Times New Roman"/>
          <w:b/>
          <w:bCs/>
          <w:iCs/>
          <w:snapToGrid w:val="0"/>
          <w:color w:val="000000" w:themeColor="text1"/>
          <w:kern w:val="0"/>
          <w:lang w:eastAsia="zh-CN"/>
        </w:rPr>
        <w:t>2.1 Blockchain-Based Real Estate Tokenization Frameworks</w:t>
      </w:r>
    </w:p>
    <w:p w14:paraId="01F2E515" w14:textId="77777777" w:rsidR="009B043D" w:rsidRPr="009B043D" w:rsidRDefault="009B043D" w:rsidP="009B043D">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Real estate tokenization has emerged as a novel mechanism for enhancing liquidity, enabling fractional ownership, and ensuring verifiable asset provenance. Early studies such as Shin and Ibba [1] explored permissioned blockchain frameworks to streamline real estate transactions and automate regulatory compliance. Similarly, Zhang et al. [2] analyzed the technical feasibility of tokenizing real estate assets through smart-contract–based governance structures. These works demonstrate the potential of distributed ledgers to reduce transaction costs and increase market accessibility.</w:t>
      </w:r>
    </w:p>
    <w:p w14:paraId="00BE14C1" w14:textId="289C5631" w:rsidR="009B043D" w:rsidRPr="009B043D" w:rsidRDefault="009B043D" w:rsidP="009B043D">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lastRenderedPageBreak/>
        <w:t xml:space="preserve">Another line of research focuses on security token offerings (STOs) and regulatory aspects. Adhami et al. [3] and </w:t>
      </w:r>
      <w:r w:rsidRPr="009B043D">
        <w:rPr>
          <w:rFonts w:ascii="Times New Roman" w:eastAsia="SimSun" w:hAnsi="Times New Roman" w:cs="Times New Roman"/>
          <w:color w:val="000000" w:themeColor="text1"/>
          <w:shd w:val="clear" w:color="auto" w:fill="FFFFFF"/>
        </w:rPr>
        <w:t>Chohan</w:t>
      </w:r>
      <w:r w:rsidRPr="009B043D">
        <w:rPr>
          <w:rFonts w:ascii="Times New Roman" w:eastAsia="SimSun" w:hAnsi="Times New Roman" w:cs="Times New Roman"/>
          <w:snapToGrid w:val="0"/>
          <w:color w:val="000000" w:themeColor="text1"/>
          <w:kern w:val="0"/>
          <w14:ligatures w14:val="none"/>
        </w:rPr>
        <w:t xml:space="preserve"> [4] showed that blockchain-based asset tokens can enhance transparency and mitigate information asymmetry, although they emphasized the need for standardized compliance mechanisms across jurisdictions. Recent practical applications, such as the work by </w:t>
      </w:r>
      <w:r w:rsidRPr="009B043D">
        <w:rPr>
          <w:rFonts w:ascii="Times New Roman" w:eastAsia="SimSun" w:hAnsi="Times New Roman" w:cs="Times New Roman"/>
          <w:color w:val="000000" w:themeColor="text1"/>
          <w:shd w:val="clear" w:color="auto" w:fill="FFFFFF"/>
        </w:rPr>
        <w:t>Lee</w:t>
      </w:r>
      <w:r w:rsidRPr="009B043D">
        <w:rPr>
          <w:rFonts w:ascii="Times New Roman" w:hAnsi="Times New Roman" w:cs="Times New Roman"/>
          <w:color w:val="000000" w:themeColor="text1"/>
          <w:shd w:val="clear" w:color="auto" w:fill="FFFFFF"/>
          <w:lang w:eastAsia="zh-CN"/>
        </w:rPr>
        <w:t xml:space="preserve"> </w:t>
      </w:r>
      <w:r w:rsidRPr="009B043D">
        <w:rPr>
          <w:rFonts w:ascii="Times New Roman" w:eastAsia="SimSun" w:hAnsi="Times New Roman" w:cs="Times New Roman"/>
          <w:snapToGrid w:val="0"/>
          <w:color w:val="000000" w:themeColor="text1"/>
          <w:kern w:val="0"/>
          <w14:ligatures w14:val="none"/>
        </w:rPr>
        <w:t>et al. [5], investigated legal frameworks supporting tokenized assets and cross-border ownership rights.</w:t>
      </w:r>
      <w:r>
        <w:rPr>
          <w:rFonts w:ascii="Times New Roman" w:hAnsi="Times New Roman" w:cs="Times New Roman"/>
          <w:snapToGrid w:val="0"/>
          <w:color w:val="000000" w:themeColor="text1"/>
          <w:kern w:val="0"/>
        </w:rPr>
        <w:t xml:space="preserve"> </w:t>
      </w:r>
      <w:r w:rsidRPr="009B043D">
        <w:rPr>
          <w:rFonts w:ascii="Times New Roman" w:eastAsia="SimSun" w:hAnsi="Times New Roman" w:cs="Times New Roman"/>
          <w:snapToGrid w:val="0"/>
          <w:color w:val="000000" w:themeColor="text1"/>
          <w:kern w:val="0"/>
          <w14:ligatures w14:val="none"/>
        </w:rPr>
        <w:t>Despite the advances, existing frameworks lack dynamic valuation capabilities and generally rely on static rules or oracle data feeds. This limitation motivates the integration of AI-driven valuation learning into token issuance and lifecycle governance—an issue that our DAREA framework addresses by embedding adaptive, data-driven pricing models directly into smart contract workflows.</w:t>
      </w:r>
    </w:p>
    <w:p w14:paraId="172ED701" w14:textId="77777777" w:rsidR="009B043D" w:rsidRPr="009B043D" w:rsidRDefault="009B043D" w:rsidP="009B043D">
      <w:pPr>
        <w:keepNext/>
        <w:keepLines/>
        <w:numPr>
          <w:ilvl w:val="1"/>
          <w:numId w:val="0"/>
        </w:numPr>
        <w:tabs>
          <w:tab w:val="left" w:pos="0"/>
        </w:tabs>
        <w:suppressAutoHyphens/>
        <w:adjustRightInd w:val="0"/>
        <w:snapToGrid w:val="0"/>
        <w:spacing w:after="0" w:line="240" w:lineRule="auto"/>
        <w:jc w:val="both"/>
        <w:outlineLvl w:val="1"/>
        <w:rPr>
          <w:rFonts w:ascii="Times New Roman" w:hAnsi="Times New Roman" w:cs="Times New Roman"/>
          <w:b/>
          <w:bCs/>
          <w:iCs/>
          <w:snapToGrid w:val="0"/>
          <w:color w:val="000000" w:themeColor="text1"/>
          <w:kern w:val="0"/>
        </w:rPr>
      </w:pPr>
      <w:r w:rsidRPr="009B043D">
        <w:rPr>
          <w:rFonts w:ascii="Times New Roman" w:hAnsi="Times New Roman" w:cs="Times New Roman"/>
          <w:b/>
          <w:bCs/>
          <w:iCs/>
          <w:snapToGrid w:val="0"/>
          <w:color w:val="000000" w:themeColor="text1"/>
          <w:kern w:val="0"/>
          <w:lang w:eastAsia="zh-CN"/>
        </w:rPr>
        <w:t>2.2 AI-Driven Real Estate Valuation and Predictive Analytics</w:t>
      </w:r>
    </w:p>
    <w:p w14:paraId="7AFAFF40" w14:textId="77777777" w:rsidR="009B043D" w:rsidRPr="009B043D" w:rsidRDefault="009B043D" w:rsidP="009B043D">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 xml:space="preserve">Machine learning models have become central to modern real estate appraisal. </w:t>
      </w:r>
      <w:r w:rsidRPr="009B043D">
        <w:rPr>
          <w:rFonts w:ascii="Times New Roman" w:eastAsia="SimSun" w:hAnsi="Times New Roman" w:cs="Times New Roman"/>
          <w:color w:val="000000" w:themeColor="text1"/>
          <w:shd w:val="clear" w:color="auto" w:fill="FFFFFF"/>
        </w:rPr>
        <w:t>Hoxha</w:t>
      </w:r>
      <w:r w:rsidRPr="009B043D">
        <w:rPr>
          <w:rFonts w:ascii="Times New Roman" w:eastAsia="SimSun" w:hAnsi="Times New Roman" w:cs="Times New Roman"/>
          <w:snapToGrid w:val="0"/>
          <w:color w:val="000000" w:themeColor="text1"/>
          <w:kern w:val="0"/>
          <w14:ligatures w14:val="none"/>
        </w:rPr>
        <w:t xml:space="preserve"> et al. [6] applied deep neural networks to model nonlinear pricing determinants, demonstrating superior accuracy compared to hedonic regression. Similarly, </w:t>
      </w:r>
      <w:r w:rsidRPr="009B043D">
        <w:rPr>
          <w:rFonts w:ascii="Times New Roman" w:eastAsia="SimSun" w:hAnsi="Times New Roman" w:cs="Times New Roman"/>
          <w:color w:val="000000" w:themeColor="text1"/>
          <w:shd w:val="clear" w:color="auto" w:fill="FFFFFF"/>
        </w:rPr>
        <w:t>Obagbuwa</w:t>
      </w:r>
      <w:r w:rsidRPr="009B043D">
        <w:rPr>
          <w:rFonts w:ascii="Times New Roman" w:eastAsia="SimSun" w:hAnsi="Times New Roman" w:cs="Times New Roman"/>
          <w:snapToGrid w:val="0"/>
          <w:color w:val="000000" w:themeColor="text1"/>
          <w:kern w:val="0"/>
          <w14:ligatures w14:val="none"/>
        </w:rPr>
        <w:t xml:space="preserve"> [7] introduced a hybrid ensemble model combining random forests and gradient boosting for property value prediction. Other studies—such as </w:t>
      </w:r>
      <w:r w:rsidRPr="009B043D">
        <w:rPr>
          <w:rFonts w:ascii="Times New Roman" w:eastAsia="SimSun" w:hAnsi="Times New Roman" w:cs="Times New Roman"/>
          <w:color w:val="000000" w:themeColor="text1"/>
          <w:shd w:val="clear" w:color="auto" w:fill="FFFFFF"/>
        </w:rPr>
        <w:t>Yang</w:t>
      </w:r>
      <w:r w:rsidRPr="009B043D">
        <w:rPr>
          <w:rFonts w:ascii="Times New Roman" w:hAnsi="Times New Roman" w:cs="Times New Roman"/>
          <w:color w:val="000000" w:themeColor="text1"/>
          <w:shd w:val="clear" w:color="auto" w:fill="FFFFFF"/>
          <w:lang w:eastAsia="zh-CN"/>
        </w:rPr>
        <w:t xml:space="preserve"> </w:t>
      </w:r>
      <w:r w:rsidRPr="009B043D">
        <w:rPr>
          <w:rFonts w:ascii="Times New Roman" w:eastAsia="SimSun" w:hAnsi="Times New Roman" w:cs="Times New Roman"/>
          <w:snapToGrid w:val="0"/>
          <w:color w:val="000000" w:themeColor="text1"/>
          <w:kern w:val="0"/>
          <w14:ligatures w14:val="none"/>
        </w:rPr>
        <w:t>et al. [8]—proposed graph-based neural architectures to capture spatial correlations in urban housing markets.</w:t>
      </w:r>
    </w:p>
    <w:p w14:paraId="0A1F474E" w14:textId="77777777" w:rsidR="009B043D" w:rsidRPr="009B043D" w:rsidRDefault="009B043D" w:rsidP="009B043D">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 xml:space="preserve">Moreover, </w:t>
      </w:r>
      <w:r w:rsidRPr="009B043D">
        <w:rPr>
          <w:rFonts w:ascii="Times New Roman" w:eastAsia="SimSun" w:hAnsi="Times New Roman" w:cs="Times New Roman"/>
          <w:color w:val="000000" w:themeColor="text1"/>
          <w:shd w:val="clear" w:color="auto" w:fill="FFFFFF"/>
        </w:rPr>
        <w:t>Nahar</w:t>
      </w:r>
      <w:r w:rsidRPr="009B043D">
        <w:rPr>
          <w:rFonts w:ascii="Times New Roman" w:eastAsia="SimSun" w:hAnsi="Times New Roman" w:cs="Times New Roman"/>
          <w:snapToGrid w:val="0"/>
          <w:color w:val="000000" w:themeColor="text1"/>
          <w:kern w:val="0"/>
          <w14:ligatures w14:val="none"/>
        </w:rPr>
        <w:t xml:space="preserve"> et al. [9] showed that LSTM-based temporal models can effectively predict long-term price cycles using macroeconomic variables. These AI-driven valuation methods highlight the necessity of dynamic and data-adaptive models within real estate finance.</w:t>
      </w:r>
    </w:p>
    <w:p w14:paraId="6CFF3FBE" w14:textId="77777777" w:rsidR="009B043D" w:rsidRPr="009B043D" w:rsidRDefault="009B043D" w:rsidP="009B043D">
      <w:pPr>
        <w:suppressAutoHyphens/>
        <w:adjustRightInd w:val="0"/>
        <w:snapToGrid w:val="0"/>
        <w:spacing w:after="0" w:line="240" w:lineRule="auto"/>
        <w:jc w:val="both"/>
        <w:rPr>
          <w:rFonts w:ascii="Times New Roman" w:hAnsi="Times New Roman" w:cs="Times New Roman"/>
          <w:i/>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However, most existing AI valuation models operate outside blockchain ecosystems, which prevents automated deployment in tokenization workflows. Our DAREA framework bridges this gap by embedding valuation intelligence directly into a blockchain-based asset management pipeline, enabling continuous reevaluation and price adjustment at the token or portfolio level.</w:t>
      </w:r>
    </w:p>
    <w:p w14:paraId="173D5602" w14:textId="77777777" w:rsidR="009B043D" w:rsidRPr="009B043D" w:rsidRDefault="009B043D" w:rsidP="009B043D">
      <w:pPr>
        <w:keepNext/>
        <w:keepLines/>
        <w:numPr>
          <w:ilvl w:val="1"/>
          <w:numId w:val="0"/>
        </w:numPr>
        <w:tabs>
          <w:tab w:val="left" w:pos="0"/>
        </w:tabs>
        <w:suppressAutoHyphens/>
        <w:adjustRightInd w:val="0"/>
        <w:snapToGrid w:val="0"/>
        <w:spacing w:after="0" w:line="240" w:lineRule="auto"/>
        <w:jc w:val="both"/>
        <w:outlineLvl w:val="1"/>
        <w:rPr>
          <w:rFonts w:ascii="Times New Roman" w:hAnsi="Times New Roman" w:cs="Times New Roman"/>
          <w:b/>
          <w:bCs/>
          <w:iCs/>
          <w:snapToGrid w:val="0"/>
          <w:color w:val="000000" w:themeColor="text1"/>
          <w:kern w:val="0"/>
        </w:rPr>
      </w:pPr>
      <w:r w:rsidRPr="009B043D">
        <w:rPr>
          <w:rFonts w:ascii="Times New Roman" w:hAnsi="Times New Roman" w:cs="Times New Roman"/>
          <w:b/>
          <w:bCs/>
          <w:iCs/>
          <w:snapToGrid w:val="0"/>
          <w:color w:val="000000" w:themeColor="text1"/>
          <w:kern w:val="0"/>
          <w:lang w:eastAsia="zh-CN"/>
        </w:rPr>
        <w:t>2.3 Integrated Blockchain–AI Architectures for Digital Assets and DeFi</w:t>
      </w:r>
    </w:p>
    <w:p w14:paraId="647D57E7" w14:textId="37364D8B"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 xml:space="preserve">The integration of AI with blockchain systems is gaining traction in asset management and decentralized finance. </w:t>
      </w:r>
      <w:r w:rsidRPr="009B043D">
        <w:rPr>
          <w:rFonts w:ascii="Times New Roman" w:eastAsia="SimSun" w:hAnsi="Times New Roman" w:cs="Times New Roman"/>
          <w:color w:val="000000" w:themeColor="text1"/>
          <w:shd w:val="clear" w:color="auto" w:fill="FFFFFF"/>
        </w:rPr>
        <w:t>Salah</w:t>
      </w:r>
      <w:r w:rsidRPr="009B043D">
        <w:rPr>
          <w:rFonts w:ascii="Times New Roman" w:eastAsia="SimSun" w:hAnsi="Times New Roman" w:cs="Times New Roman"/>
          <w:snapToGrid w:val="0"/>
          <w:color w:val="000000" w:themeColor="text1"/>
          <w:kern w:val="0"/>
          <w14:ligatures w14:val="none"/>
        </w:rPr>
        <w:t xml:space="preserve"> et al. [10] reviewed AI–blockchain hybrid architectures, showing their potential for anomaly detection, dynamic pricing, and trust automation. </w:t>
      </w:r>
      <w:r w:rsidRPr="009B043D">
        <w:rPr>
          <w:rFonts w:ascii="Times New Roman" w:eastAsia="SimSun" w:hAnsi="Times New Roman" w:cs="Times New Roman"/>
          <w:color w:val="000000" w:themeColor="text1"/>
          <w:shd w:val="clear" w:color="auto" w:fill="FFFFFF"/>
        </w:rPr>
        <w:t>Santosh</w:t>
      </w:r>
      <w:r w:rsidRPr="009B043D">
        <w:rPr>
          <w:rFonts w:ascii="Times New Roman" w:eastAsia="SimSun" w:hAnsi="Times New Roman" w:cs="Times New Roman"/>
          <w:snapToGrid w:val="0"/>
          <w:color w:val="000000" w:themeColor="text1"/>
          <w:kern w:val="0"/>
          <w14:ligatures w14:val="none"/>
        </w:rPr>
        <w:t xml:space="preserve"> et al. [11] further demonstrated the viability of combining reinforcement learning with smart contracts to optimize crypto-asset allocation.</w:t>
      </w:r>
      <w:r w:rsidR="00212957">
        <w:rPr>
          <w:rFonts w:ascii="Times New Roman" w:hAnsi="Times New Roman" w:cs="Times New Roman"/>
          <w:snapToGrid w:val="0"/>
          <w:color w:val="000000" w:themeColor="text1"/>
          <w:kern w:val="0"/>
        </w:rPr>
        <w:t xml:space="preserve"> </w:t>
      </w:r>
      <w:r w:rsidRPr="009B043D">
        <w:rPr>
          <w:rFonts w:ascii="Times New Roman" w:eastAsia="SimSun" w:hAnsi="Times New Roman" w:cs="Times New Roman"/>
          <w:snapToGrid w:val="0"/>
          <w:color w:val="000000" w:themeColor="text1"/>
          <w:kern w:val="0"/>
          <w14:ligatures w14:val="none"/>
        </w:rPr>
        <w:t>In the context of physical asset tokenization, Mougayar [12] discussed the role of decentralized infrastructures in redefining asset ownership models and enabling transparent, programmable markets. While these studies provide valuable insights, existing systems still lack a unified architecture that integrates (i) blockchain-based token governance, (ii) AI-driven valuation modules, and (iii) dynamic on-chain interaction.</w:t>
      </w:r>
      <w:r w:rsidR="00212957">
        <w:rPr>
          <w:rFonts w:ascii="Times New Roman" w:hAnsi="Times New Roman" w:cs="Times New Roman"/>
          <w:snapToGrid w:val="0"/>
          <w:color w:val="000000" w:themeColor="text1"/>
          <w:kern w:val="0"/>
        </w:rPr>
        <w:t xml:space="preserve"> </w:t>
      </w:r>
      <w:r w:rsidRPr="009B043D">
        <w:rPr>
          <w:rFonts w:ascii="Times New Roman" w:eastAsia="SimSun" w:hAnsi="Times New Roman" w:cs="Times New Roman"/>
          <w:snapToGrid w:val="0"/>
          <w:color w:val="000000" w:themeColor="text1"/>
          <w:kern w:val="0"/>
          <w14:ligatures w14:val="none"/>
        </w:rPr>
        <w:t>Our proposed DAREA framework differs from prior work by offering an end-to-end design that couples blockchain asset tokenization with adaptive valuation models, enabling continuously updated pricing, governance automation, and real-time consistency across decentralized markets. This integrated architecture supports both regulatory transparency and operational efficiency, while providing a scalable foundation for next-generation real estate tokenization ecosystems.</w:t>
      </w:r>
    </w:p>
    <w:p w14:paraId="37A21C6C" w14:textId="5B2DD53A" w:rsidR="009B043D" w:rsidRPr="009B043D" w:rsidRDefault="00212957" w:rsidP="00212957">
      <w:pPr>
        <w:keepNext/>
        <w:keepLines/>
        <w:widowControl w:val="0"/>
        <w:tabs>
          <w:tab w:val="left" w:pos="0"/>
        </w:tabs>
        <w:suppressAutoHyphens/>
        <w:adjustRightInd w:val="0"/>
        <w:snapToGrid w:val="0"/>
        <w:spacing w:after="0" w:line="240" w:lineRule="auto"/>
        <w:jc w:val="both"/>
        <w:outlineLvl w:val="0"/>
        <w:rPr>
          <w:rFonts w:ascii="Times New Roman" w:hAnsi="Times New Roman" w:cs="Times New Roman"/>
          <w:b/>
          <w:snapToGrid w:val="0"/>
          <w:color w:val="000000" w:themeColor="text1"/>
        </w:rPr>
      </w:pPr>
      <w:r>
        <w:rPr>
          <w:rFonts w:ascii="Times New Roman" w:hAnsi="Times New Roman" w:cs="Times New Roman"/>
          <w:b/>
          <w:snapToGrid w:val="0"/>
          <w:color w:val="000000" w:themeColor="text1"/>
          <w:lang w:eastAsia="zh-CN"/>
        </w:rPr>
        <w:t>3.</w:t>
      </w:r>
      <w:r w:rsidR="009B043D" w:rsidRPr="009B043D">
        <w:rPr>
          <w:rFonts w:ascii="Times New Roman" w:hAnsi="Times New Roman" w:cs="Times New Roman"/>
          <w:b/>
          <w:snapToGrid w:val="0"/>
          <w:color w:val="000000" w:themeColor="text1"/>
          <w:lang w:eastAsia="zh-CN"/>
        </w:rPr>
        <w:t>M</w:t>
      </w:r>
      <w:r w:rsidR="009B043D" w:rsidRPr="009B043D">
        <w:rPr>
          <w:rFonts w:ascii="Times New Roman" w:hAnsi="Times New Roman" w:cs="Times New Roman"/>
          <w:b/>
          <w:snapToGrid w:val="0"/>
          <w:color w:val="000000" w:themeColor="text1"/>
        </w:rPr>
        <w:t>ethodology</w:t>
      </w:r>
    </w:p>
    <w:p w14:paraId="61293D77" w14:textId="77777777" w:rsidR="009B043D" w:rsidRPr="009B043D" w:rsidRDefault="009B043D" w:rsidP="009B043D">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This section presents the proposed DAREA (Dynamic AI-Driven Real Estate Asset Tokenization Architecture), an integrated framework that combines blockchain-based asset tokenization with dynamic AI valuation models. The design aims to enable transparent asset registration, secure token issuance, and continuously updated on-chain valuation. We detail the architecture, formalize its valuation and tokenization mechanisms, and describe the underlying blockchain protocols and smart-contract workflows that support the system’s core functionalities.</w:t>
      </w:r>
    </w:p>
    <w:p w14:paraId="0627DD18" w14:textId="77777777" w:rsidR="009B043D" w:rsidRPr="00212957" w:rsidRDefault="009B043D" w:rsidP="009B043D">
      <w:pPr>
        <w:keepNext/>
        <w:keepLines/>
        <w:numPr>
          <w:ilvl w:val="1"/>
          <w:numId w:val="0"/>
        </w:numPr>
        <w:tabs>
          <w:tab w:val="left" w:pos="0"/>
        </w:tabs>
        <w:suppressAutoHyphens/>
        <w:adjustRightInd w:val="0"/>
        <w:snapToGrid w:val="0"/>
        <w:spacing w:after="0" w:line="240" w:lineRule="auto"/>
        <w:jc w:val="both"/>
        <w:outlineLvl w:val="1"/>
        <w:rPr>
          <w:rFonts w:ascii="Times New Roman" w:hAnsi="Times New Roman" w:cs="Times New Roman"/>
          <w:b/>
          <w:bCs/>
          <w:iCs/>
          <w:snapToGrid w:val="0"/>
          <w:color w:val="000000" w:themeColor="text1"/>
          <w:kern w:val="0"/>
        </w:rPr>
      </w:pPr>
      <w:r w:rsidRPr="00212957">
        <w:rPr>
          <w:rFonts w:ascii="Times New Roman" w:hAnsi="Times New Roman" w:cs="Times New Roman"/>
          <w:b/>
          <w:bCs/>
          <w:iCs/>
          <w:snapToGrid w:val="0"/>
          <w:color w:val="000000" w:themeColor="text1"/>
          <w:kern w:val="0"/>
          <w:lang w:eastAsia="zh-CN"/>
        </w:rPr>
        <w:lastRenderedPageBreak/>
        <w:t>3.1 DAREA Architectural Overview</w:t>
      </w:r>
    </w:p>
    <w:p w14:paraId="61918189" w14:textId="19FB8EF3"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The DAREA framework is designed as a multi-layer architecture consisting of a Data Integration Layer, an AI Valuation Layer, a Blockchain Tokenization Layer, and an Orchestration Layer that coordinates cross-module communication. At its core, DAREA enables AI-driven valuation updates to propagate seamlessly to the blockchain layer using verifiable computation and on-chain–off-chain interaction protocols such as decentralized oracles.</w:t>
      </w:r>
      <w:r w:rsidR="00212957">
        <w:rPr>
          <w:rFonts w:ascii="Times New Roman" w:hAnsi="Times New Roman" w:cs="Times New Roman"/>
          <w:snapToGrid w:val="0"/>
          <w:color w:val="000000" w:themeColor="text1"/>
          <w:kern w:val="0"/>
        </w:rPr>
        <w:t xml:space="preserve"> </w:t>
      </w:r>
      <w:r w:rsidRPr="009B043D">
        <w:rPr>
          <w:rFonts w:ascii="Times New Roman" w:eastAsia="SimSun" w:hAnsi="Times New Roman" w:cs="Times New Roman"/>
          <w:snapToGrid w:val="0"/>
          <w:color w:val="000000" w:themeColor="text1"/>
          <w:kern w:val="0"/>
          <w14:ligatures w14:val="none"/>
        </w:rPr>
        <w:t>In the Data Integration Layer, heterogeneous data—historical transaction records, spatial features, socioeconomic indicators, regulatory constraints, and property-specific attributes—are processed and normalized.</w:t>
      </w:r>
      <w:r w:rsidRPr="009B043D">
        <w:rPr>
          <w:rFonts w:ascii="Times New Roman" w:hAnsi="Times New Roman" w:cs="Times New Roman"/>
          <w:snapToGrid w:val="0"/>
          <w:color w:val="000000" w:themeColor="text1"/>
          <w:kern w:val="0"/>
          <w:lang w:eastAsia="zh-CN"/>
          <w14:ligatures w14:val="none"/>
        </w:rPr>
        <w:t xml:space="preserve"> To effectively manage these highly interconnected datasets, DAREA’s data structuring principles draw inspiration from deep learning-based semantic database systems [13], ensuring that the rich semantic relationships between disparate market indicators and spatial nodes are preserved.</w:t>
      </w:r>
      <w:r w:rsidRPr="009B043D">
        <w:rPr>
          <w:rFonts w:ascii="Times New Roman" w:eastAsia="SimSun" w:hAnsi="Times New Roman" w:cs="Times New Roman"/>
          <w:snapToGrid w:val="0"/>
          <w:color w:val="000000" w:themeColor="text1"/>
          <w:kern w:val="0"/>
          <w14:ligatures w14:val="none"/>
        </w:rPr>
        <w:t xml:space="preserve"> These features are passed into the AI Valuation Layer, which provides a dynamic price estimate </w:t>
      </w:r>
      <m:oMath>
        <m:sSub>
          <m:sSubPr>
            <m:ctrlPr>
              <w:rPr>
                <w:rFonts w:ascii="Cambria Math" w:eastAsia="SimSun" w:hAnsi="Cambria Math" w:cs="Times New Roman"/>
                <w:i/>
                <w:snapToGrid w:val="0"/>
                <w:color w:val="000000" w:themeColor="text1"/>
                <w:kern w:val="0"/>
                <w14:ligatures w14:val="none"/>
              </w:rPr>
            </m:ctrlPr>
          </m:sSubPr>
          <m:e>
            <m:acc>
              <m:accPr>
                <m:ctrlPr>
                  <w:rPr>
                    <w:rFonts w:ascii="Cambria Math" w:eastAsia="SimSun" w:hAnsi="Cambria Math" w:cs="Times New Roman"/>
                    <w:i/>
                    <w:snapToGrid w:val="0"/>
                    <w:color w:val="000000" w:themeColor="text1"/>
                    <w:kern w:val="0"/>
                    <w14:ligatures w14:val="none"/>
                  </w:rPr>
                </m:ctrlPr>
              </m:accPr>
              <m:e>
                <m:r>
                  <w:rPr>
                    <w:rFonts w:ascii="Cambria Math" w:eastAsia="SimSun" w:hAnsi="Cambria Math" w:cs="Times New Roman"/>
                    <w:snapToGrid w:val="0"/>
                    <w:color w:val="000000" w:themeColor="text1"/>
                    <w:kern w:val="0"/>
                    <w14:ligatures w14:val="none"/>
                  </w:rPr>
                  <m:t>V</m:t>
                </m:r>
              </m:e>
            </m:acc>
          </m:e>
          <m:sub>
            <m:r>
              <w:rPr>
                <w:rFonts w:ascii="Cambria Math" w:hAnsi="Cambria Math" w:cs="Times New Roman"/>
                <w:snapToGrid w:val="0"/>
                <w:color w:val="000000" w:themeColor="text1"/>
                <w:kern w:val="0"/>
                <w:lang w:eastAsia="zh-CN"/>
                <w14:ligatures w14:val="none"/>
              </w:rPr>
              <m:t>t</m:t>
            </m:r>
          </m:sub>
        </m:sSub>
      </m:oMath>
      <w:r w:rsidRPr="009B043D">
        <w:rPr>
          <w:rFonts w:ascii="Times New Roman" w:eastAsia="SimSun" w:hAnsi="Times New Roman" w:cs="Times New Roman"/>
          <w:snapToGrid w:val="0"/>
          <w:color w:val="000000" w:themeColor="text1"/>
          <w:kern w:val="0"/>
          <w14:ligatures w14:val="none"/>
        </w:rPr>
        <w:t xml:space="preserve"> for each property at time</w:t>
      </w:r>
      <m:oMath>
        <m:r>
          <w:rPr>
            <w:rFonts w:ascii="Cambria Math" w:eastAsia="SimSun" w:hAnsi="Cambria Math" w:cs="Times New Roman"/>
            <w:snapToGrid w:val="0"/>
            <w:color w:val="000000" w:themeColor="text1"/>
            <w:kern w:val="0"/>
            <w14:ligatures w14:val="none"/>
          </w:rPr>
          <m:t xml:space="preserve"> t</m:t>
        </m:r>
      </m:oMath>
      <w:r w:rsidRPr="009B043D">
        <w:rPr>
          <w:rFonts w:ascii="Times New Roman" w:eastAsia="SimSun" w:hAnsi="Times New Roman" w:cs="Times New Roman"/>
          <w:snapToGrid w:val="0"/>
          <w:color w:val="000000" w:themeColor="text1"/>
          <w:kern w:val="0"/>
          <w14:ligatures w14:val="none"/>
        </w:rPr>
        <w:t>. By continuously capturing market volatility and providing highly accurate temporal predictions, this valuation layer inherently acts as a real-time risk mitigation and decision support mechanism, closely aligning with modern Fintech paradigms for real estate investment [14]</w:t>
      </w:r>
      <w:r w:rsidRPr="009B043D">
        <w:rPr>
          <w:rFonts w:ascii="Times New Roman" w:hAnsi="Times New Roman" w:cs="Times New Roman"/>
          <w:snapToGrid w:val="0"/>
          <w:color w:val="000000" w:themeColor="text1"/>
          <w:kern w:val="0"/>
          <w:lang w:eastAsia="zh-CN"/>
          <w14:ligatures w14:val="none"/>
        </w:rPr>
        <w:t xml:space="preserve">. </w:t>
      </w:r>
      <w:r w:rsidRPr="009B043D">
        <w:rPr>
          <w:rFonts w:ascii="Times New Roman" w:eastAsia="SimSun" w:hAnsi="Times New Roman" w:cs="Times New Roman"/>
          <w:snapToGrid w:val="0"/>
          <w:color w:val="000000" w:themeColor="text1"/>
          <w:kern w:val="0"/>
          <w14:ligatures w14:val="none"/>
        </w:rPr>
        <w:t>The valuation result is then transmitted to the Blockchain Tokenization Layer, where smart contracts manage token issuance, fractional ownership, and state transitions triggered by valuation updates. The Orchestration Layer ensures atomicity and consistency between AI updates and blockchain transactions through asynchronous message queues and secure oracle channels.</w:t>
      </w:r>
      <w:r w:rsidR="00212957">
        <w:rPr>
          <w:rFonts w:ascii="Times New Roman" w:hAnsi="Times New Roman" w:cs="Times New Roman"/>
          <w:snapToGrid w:val="0"/>
          <w:color w:val="000000" w:themeColor="text1"/>
          <w:kern w:val="0"/>
        </w:rPr>
        <w:t xml:space="preserve"> </w:t>
      </w:r>
      <w:r w:rsidRPr="009B043D">
        <w:rPr>
          <w:rFonts w:ascii="Times New Roman" w:eastAsia="SimSun" w:hAnsi="Times New Roman" w:cs="Times New Roman"/>
          <w:snapToGrid w:val="0"/>
          <w:color w:val="000000" w:themeColor="text1"/>
          <w:kern w:val="0"/>
          <w14:ligatures w14:val="none"/>
        </w:rPr>
        <w:t>The architecture is designed to support continuous valuation and re-tokenization without disrupting ownership or governance rights. This dynamic interaction between valuation and tokenization forms the core innovation of DAREA and motivates the development of a joint AI-blockchain workflow rather than treating valuation and tokenization as separate processes.</w:t>
      </w:r>
    </w:p>
    <w:p w14:paraId="2623511E"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33EBC3DE" w14:textId="77777777" w:rsidR="009B043D" w:rsidRPr="009B043D" w:rsidRDefault="009B043D" w:rsidP="00212957">
      <w:pPr>
        <w:suppressAutoHyphens/>
        <w:adjustRightInd w:val="0"/>
        <w:snapToGrid w:val="0"/>
        <w:spacing w:after="0" w:line="240" w:lineRule="auto"/>
        <w:ind w:firstLineChars="100" w:firstLine="240"/>
        <w:jc w:val="center"/>
        <w:rPr>
          <w:rFonts w:ascii="Times New Roman" w:hAnsi="Times New Roman" w:cs="Times New Roman"/>
          <w:color w:val="000000" w:themeColor="text1"/>
        </w:rPr>
      </w:pPr>
      <w:r w:rsidRPr="009B043D">
        <w:rPr>
          <w:rFonts w:ascii="Times New Roman" w:hAnsi="Times New Roman" w:cs="Times New Roman"/>
          <w:noProof/>
          <w:color w:val="000000" w:themeColor="text1"/>
        </w:rPr>
        <w:drawing>
          <wp:inline distT="0" distB="0" distL="114300" distR="114300" wp14:anchorId="6CECBD27" wp14:editId="512162E0">
            <wp:extent cx="3938270" cy="2479040"/>
            <wp:effectExtent l="0" t="0" r="889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3938270" cy="2479040"/>
                    </a:xfrm>
                    <a:prstGeom prst="rect">
                      <a:avLst/>
                    </a:prstGeom>
                    <a:noFill/>
                    <a:ln>
                      <a:noFill/>
                    </a:ln>
                  </pic:spPr>
                </pic:pic>
              </a:graphicData>
            </a:graphic>
          </wp:inline>
        </w:drawing>
      </w:r>
    </w:p>
    <w:p w14:paraId="76C5D890" w14:textId="77777777" w:rsidR="009B043D" w:rsidRPr="00212957" w:rsidRDefault="009B043D" w:rsidP="00212957">
      <w:pPr>
        <w:keepNext/>
        <w:keepLines/>
        <w:tabs>
          <w:tab w:val="left" w:pos="0"/>
        </w:tabs>
        <w:suppressAutoHyphens/>
        <w:adjustRightInd w:val="0"/>
        <w:snapToGrid w:val="0"/>
        <w:spacing w:after="0" w:line="240" w:lineRule="auto"/>
        <w:jc w:val="center"/>
        <w:outlineLvl w:val="0"/>
        <w:rPr>
          <w:rFonts w:cstheme="minorHAnsi"/>
          <w:b/>
          <w:color w:val="000000" w:themeColor="text1"/>
          <w:sz w:val="20"/>
          <w:szCs w:val="20"/>
        </w:rPr>
      </w:pPr>
      <w:r w:rsidRPr="00212957">
        <w:rPr>
          <w:rFonts w:cstheme="minorHAnsi"/>
          <w:b/>
          <w:snapToGrid w:val="0"/>
          <w:color w:val="000000" w:themeColor="text1"/>
          <w:sz w:val="20"/>
          <w:szCs w:val="20"/>
          <w:lang w:eastAsia="zh-CN"/>
        </w:rPr>
        <w:t xml:space="preserve">Figure 1. </w:t>
      </w:r>
      <w:r w:rsidRPr="00212957">
        <w:rPr>
          <w:rFonts w:eastAsia="SimSun" w:cstheme="minorHAnsi"/>
          <w:b/>
          <w:snapToGrid w:val="0"/>
          <w:color w:val="000000" w:themeColor="text1"/>
          <w:kern w:val="0"/>
          <w:sz w:val="20"/>
          <w:szCs w:val="20"/>
          <w14:ligatures w14:val="none"/>
        </w:rPr>
        <w:t xml:space="preserve">Structure diagram of </w:t>
      </w:r>
      <w:r w:rsidRPr="00212957">
        <w:rPr>
          <w:rFonts w:cstheme="minorHAnsi"/>
          <w:b/>
          <w:snapToGrid w:val="0"/>
          <w:color w:val="000000" w:themeColor="text1"/>
          <w:kern w:val="0"/>
          <w:sz w:val="20"/>
          <w:szCs w:val="20"/>
          <w:lang w:eastAsia="zh-CN"/>
          <w14:ligatures w14:val="none"/>
        </w:rPr>
        <w:t>model.</w:t>
      </w:r>
    </w:p>
    <w:p w14:paraId="1F120001" w14:textId="77777777" w:rsidR="009B043D" w:rsidRPr="00212957" w:rsidRDefault="009B043D" w:rsidP="009B043D">
      <w:pPr>
        <w:keepNext/>
        <w:keepLines/>
        <w:numPr>
          <w:ilvl w:val="1"/>
          <w:numId w:val="0"/>
        </w:numPr>
        <w:tabs>
          <w:tab w:val="left" w:pos="0"/>
        </w:tabs>
        <w:suppressAutoHyphens/>
        <w:adjustRightInd w:val="0"/>
        <w:snapToGrid w:val="0"/>
        <w:spacing w:after="0" w:line="240" w:lineRule="auto"/>
        <w:jc w:val="both"/>
        <w:outlineLvl w:val="1"/>
        <w:rPr>
          <w:rFonts w:ascii="Times New Roman" w:hAnsi="Times New Roman" w:cs="Times New Roman"/>
          <w:b/>
          <w:bCs/>
          <w:iCs/>
          <w:snapToGrid w:val="0"/>
          <w:color w:val="000000" w:themeColor="text1"/>
          <w:kern w:val="0"/>
        </w:rPr>
      </w:pPr>
      <w:r w:rsidRPr="00212957">
        <w:rPr>
          <w:rFonts w:ascii="Times New Roman" w:hAnsi="Times New Roman" w:cs="Times New Roman"/>
          <w:b/>
          <w:bCs/>
          <w:iCs/>
          <w:snapToGrid w:val="0"/>
          <w:color w:val="000000" w:themeColor="text1"/>
          <w:kern w:val="0"/>
          <w:lang w:eastAsia="zh-CN"/>
        </w:rPr>
        <w:t>3.2 Dynamic AI-Driven Valuation Model</w:t>
      </w:r>
    </w:p>
    <w:p w14:paraId="1096EB3A" w14:textId="77777777" w:rsidR="009B043D" w:rsidRPr="009B043D" w:rsidRDefault="009B043D" w:rsidP="009B043D">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 xml:space="preserve">The dynamic valuation engine in DAREA is constructed using a hybrid Spatiotemporal Deep Neural Network (ST-DNN) that integrates property-level features </w:t>
      </w:r>
      <m:oMath>
        <m:r>
          <w:rPr>
            <w:rFonts w:ascii="Cambria Math" w:eastAsia="SimSun" w:hAnsi="Cambria Math" w:cs="Times New Roman"/>
            <w:snapToGrid w:val="0"/>
            <w:color w:val="000000" w:themeColor="text1"/>
            <w:kern w:val="0"/>
            <w14:ligatures w14:val="none"/>
          </w:rPr>
          <m:t>x</m:t>
        </m:r>
      </m:oMath>
      <w:r w:rsidRPr="009B043D">
        <w:rPr>
          <w:rFonts w:ascii="Times New Roman" w:eastAsia="SimSun" w:hAnsi="Times New Roman" w:cs="Times New Roman"/>
          <w:snapToGrid w:val="0"/>
          <w:color w:val="000000" w:themeColor="text1"/>
          <w:kern w:val="0"/>
          <w14:ligatures w14:val="none"/>
        </w:rPr>
        <w:t xml:space="preserve">, spatial relationships </w:t>
      </w:r>
      <m:oMath>
        <m:r>
          <w:rPr>
            <w:rFonts w:ascii="Cambria Math" w:eastAsia="SimSun" w:hAnsi="Cambria Math" w:cs="Times New Roman"/>
            <w:snapToGrid w:val="0"/>
            <w:color w:val="000000" w:themeColor="text1"/>
            <w:kern w:val="0"/>
            <w14:ligatures w14:val="none"/>
          </w:rPr>
          <m:t>s</m:t>
        </m:r>
      </m:oMath>
      <w:r w:rsidRPr="009B043D">
        <w:rPr>
          <w:rFonts w:ascii="Times New Roman" w:eastAsia="SimSun" w:hAnsi="Times New Roman" w:cs="Times New Roman"/>
          <w:snapToGrid w:val="0"/>
          <w:color w:val="000000" w:themeColor="text1"/>
          <w:kern w:val="0"/>
          <w14:ligatures w14:val="none"/>
        </w:rPr>
        <w:t xml:space="preserve">, and temporal market dynamics </w:t>
      </w:r>
      <m:oMath>
        <m:sSub>
          <m:sSubPr>
            <m:ctrlPr>
              <w:rPr>
                <w:rFonts w:ascii="Cambria Math" w:eastAsia="SimSun" w:hAnsi="Cambria Math" w:cs="Times New Roman"/>
                <w:i/>
                <w:snapToGrid w:val="0"/>
                <w:color w:val="000000" w:themeColor="text1"/>
                <w:kern w:val="0"/>
                <w14:ligatures w14:val="none"/>
              </w:rPr>
            </m:ctrlPr>
          </m:sSubPr>
          <m:e>
            <m:r>
              <w:rPr>
                <w:rFonts w:ascii="Cambria Math" w:eastAsia="SimSun" w:hAnsi="Cambria Math" w:cs="Times New Roman"/>
                <w:snapToGrid w:val="0"/>
                <w:color w:val="000000" w:themeColor="text1"/>
                <w:kern w:val="0"/>
                <w14:ligatures w14:val="none"/>
              </w:rPr>
              <m:t>h</m:t>
            </m:r>
          </m:e>
          <m:sub>
            <m:r>
              <w:rPr>
                <w:rFonts w:ascii="Cambria Math" w:hAnsi="Cambria Math" w:cs="Times New Roman"/>
                <w:snapToGrid w:val="0"/>
                <w:color w:val="000000" w:themeColor="text1"/>
                <w:kern w:val="0"/>
                <w:lang w:eastAsia="zh-CN"/>
                <w14:ligatures w14:val="none"/>
              </w:rPr>
              <m:t>t</m:t>
            </m:r>
          </m:sub>
        </m:sSub>
      </m:oMath>
      <w:r w:rsidRPr="009B043D">
        <w:rPr>
          <w:rFonts w:ascii="Times New Roman" w:eastAsia="SimSun" w:hAnsi="Times New Roman" w:cs="Times New Roman"/>
          <w:snapToGrid w:val="0"/>
          <w:color w:val="000000" w:themeColor="text1"/>
          <w:kern w:val="0"/>
          <w14:ligatures w14:val="none"/>
        </w:rPr>
        <w:t>.</w:t>
      </w:r>
      <w:r w:rsidRPr="009B043D">
        <w:rPr>
          <w:rFonts w:ascii="Times New Roman" w:hAnsi="Times New Roman" w:cs="Times New Roman"/>
          <w:snapToGrid w:val="0"/>
          <w:color w:val="000000" w:themeColor="text1"/>
          <w:kern w:val="0"/>
          <w:lang w:eastAsia="zh-CN"/>
          <w14:ligatures w14:val="none"/>
        </w:rPr>
        <w:t xml:space="preserve"> The design of our GRU-based temporal modules and spatial GCNs is methodologically aligned with recent dynamic temporal-fusion architectures that successfully track risk propagation across interconnected nodes [15]. This alignment allows DAREA to </w:t>
      </w:r>
      <w:r w:rsidRPr="009B043D">
        <w:rPr>
          <w:rFonts w:ascii="Times New Roman" w:hAnsi="Times New Roman" w:cs="Times New Roman"/>
          <w:snapToGrid w:val="0"/>
          <w:color w:val="000000" w:themeColor="text1"/>
          <w:kern w:val="0"/>
          <w:lang w:eastAsia="zh-CN"/>
          <w14:ligatures w14:val="none"/>
        </w:rPr>
        <w:lastRenderedPageBreak/>
        <w:t>effectively model how broader macroeconomic fluctuations propagate through local geographic property networks.</w:t>
      </w:r>
      <w:r w:rsidRPr="009B043D">
        <w:rPr>
          <w:rFonts w:ascii="Times New Roman" w:eastAsia="SimSun" w:hAnsi="Times New Roman" w:cs="Times New Roman"/>
          <w:snapToGrid w:val="0"/>
          <w:color w:val="000000" w:themeColor="text1"/>
          <w:kern w:val="0"/>
          <w14:ligatures w14:val="none"/>
        </w:rPr>
        <w:t xml:space="preserve"> The model predicts the fundamental value of a property at time </w:t>
      </w:r>
      <m:oMath>
        <m:r>
          <w:rPr>
            <w:rFonts w:ascii="Cambria Math" w:eastAsia="SimSun" w:hAnsi="Cambria Math" w:cs="Times New Roman"/>
            <w:snapToGrid w:val="0"/>
            <w:color w:val="000000" w:themeColor="text1"/>
            <w:kern w:val="0"/>
            <w14:ligatures w14:val="none"/>
          </w:rPr>
          <m:t>t</m:t>
        </m:r>
      </m:oMath>
      <w:r w:rsidRPr="009B043D">
        <w:rPr>
          <w:rFonts w:ascii="Times New Roman" w:eastAsia="SimSun" w:hAnsi="Times New Roman" w:cs="Times New Roman"/>
          <w:snapToGrid w:val="0"/>
          <w:color w:val="000000" w:themeColor="text1"/>
          <w:kern w:val="0"/>
          <w14:ligatures w14:val="none"/>
        </w:rPr>
        <w:t>, denoted as:</w:t>
      </w:r>
    </w:p>
    <w:p w14:paraId="08CAC0C7" w14:textId="77777777" w:rsidR="009B043D" w:rsidRPr="009B043D" w:rsidRDefault="009B043D" w:rsidP="009B043D">
      <w:pPr>
        <w:suppressAutoHyphens/>
        <w:adjustRightInd w:val="0"/>
        <w:snapToGrid w:val="0"/>
        <w:spacing w:after="0" w:line="240" w:lineRule="auto"/>
        <w:jc w:val="both"/>
        <w:rPr>
          <w:rFonts w:ascii="Times New Roman" w:hAnsi="Times New Roman" w:cs="Times New Roman"/>
          <w:snapToGrid w:val="0"/>
          <w:color w:val="000000" w:themeColor="text1"/>
          <w:kern w:val="0"/>
        </w:rPr>
      </w:pPr>
    </w:p>
    <w:p w14:paraId="65524850" w14:textId="77777777" w:rsidR="009B043D" w:rsidRPr="00212957" w:rsidRDefault="009B043D" w:rsidP="009B043D">
      <w:pPr>
        <w:suppressAutoHyphens/>
        <w:adjustRightInd w:val="0"/>
        <w:snapToGrid w:val="0"/>
        <w:spacing w:after="0" w:line="240" w:lineRule="auto"/>
        <w:ind w:firstLineChars="100" w:firstLine="240"/>
        <w:jc w:val="both"/>
        <w:rPr>
          <w:rFonts w:ascii="Times New Roman" w:hAnsi="Times New Roman" w:cs="Times New Roman"/>
          <w:i/>
          <w:iCs/>
          <w:snapToGrid w:val="0"/>
          <w:color w:val="000000" w:themeColor="text1"/>
          <w:kern w:val="0"/>
        </w:rPr>
      </w:pPr>
      <m:oMathPara>
        <m:oMathParaPr>
          <m:jc m:val="center"/>
        </m:oMathParaPr>
        <m:oMath>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m:t>
          </m:r>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f</m:t>
              </m:r>
            </m:e>
            <m:sub>
              <m:r>
                <w:rPr>
                  <w:rFonts w:ascii="Cambria Math" w:eastAsia="SimSun" w:hAnsi="Cambria Math" w:cs="Times New Roman"/>
                  <w:snapToGrid w:val="0"/>
                  <w:color w:val="000000" w:themeColor="text1"/>
                  <w:kern w:val="0"/>
                  <w:lang w:eastAsia="zh-CN"/>
                  <w14:ligatures w14:val="none"/>
                </w:rPr>
                <m:t>θ</m:t>
              </m:r>
            </m:sub>
          </m:sSub>
          <m:r>
            <w:rPr>
              <w:rFonts w:ascii="Cambria Math" w:eastAsia="SimSun" w:hAnsi="Cambria Math" w:cs="Times New Roman"/>
              <w:snapToGrid w:val="0"/>
              <w:color w:val="000000" w:themeColor="text1"/>
              <w:kern w:val="0"/>
              <w:lang w:eastAsia="zh-CN"/>
              <w14:ligatures w14:val="none"/>
            </w:rPr>
            <m:t>(x,s,</m:t>
          </m:r>
          <m:sSub>
            <m:sSubPr>
              <m:ctrlPr>
                <w:rPr>
                  <w:rFonts w:ascii="Cambria Math" w:eastAsia="SimSun" w:hAnsi="Cambria Math" w:cs="Times New Roman"/>
                  <w:i/>
                  <w:snapToGrid w:val="0"/>
                  <w:color w:val="000000" w:themeColor="text1"/>
                  <w:kern w:val="0"/>
                  <w14:ligatures w14:val="none"/>
                </w:rPr>
              </m:ctrlPr>
            </m:sSubPr>
            <m:e>
              <m:r>
                <w:rPr>
                  <w:rFonts w:ascii="Cambria Math" w:eastAsia="SimSun" w:hAnsi="Cambria Math" w:cs="Times New Roman"/>
                  <w:snapToGrid w:val="0"/>
                  <w:color w:val="000000" w:themeColor="text1"/>
                  <w:kern w:val="0"/>
                  <w14:ligatures w14:val="none"/>
                </w:rPr>
                <m:t>h</m:t>
              </m:r>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m:t>
          </m:r>
          <m:r>
            <w:rPr>
              <w:rFonts w:ascii="Cambria Math" w:hAnsi="Cambria Math" w:cs="Times New Roman"/>
              <w:snapToGrid w:val="0"/>
              <w:color w:val="000000" w:themeColor="text1"/>
              <w:kern w:val="0"/>
              <w:lang w:eastAsia="zh-CN"/>
              <w14:ligatures w14:val="none"/>
            </w:rPr>
            <m:t xml:space="preserve">                                                      (1</m:t>
          </m:r>
          <m:r>
            <w:rPr>
              <w:rFonts w:ascii="Cambria Math" w:hAnsi="Cambria Math" w:cs="Times New Roman"/>
              <w:snapToGrid w:val="0"/>
              <w:color w:val="000000" w:themeColor="text1"/>
              <w:kern w:val="0"/>
              <w:lang w:eastAsia="zh-CN"/>
              <w14:ligatures w14:val="none"/>
            </w:rPr>
            <m:t>)</m:t>
          </m:r>
        </m:oMath>
      </m:oMathPara>
    </w:p>
    <w:p w14:paraId="20AD23D8"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 xml:space="preserve"> </w:t>
      </w:r>
    </w:p>
    <w:p w14:paraId="2D44D5D5"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 xml:space="preserve">where </w:t>
      </w:r>
      <m:oMath>
        <m:sSub>
          <m:sSubPr>
            <m:ctrlPr>
              <w:rPr>
                <w:rFonts w:ascii="Cambria Math" w:eastAsia="SimSun" w:hAnsi="Cambria Math" w:cs="Times New Roman"/>
                <w:i/>
                <w:snapToGrid w:val="0"/>
                <w:color w:val="000000" w:themeColor="text1"/>
                <w:kern w:val="0"/>
                <w14:ligatures w14:val="none"/>
              </w:rPr>
            </m:ctrlPr>
          </m:sSubPr>
          <m:e>
            <m:r>
              <w:rPr>
                <w:rFonts w:ascii="Cambria Math" w:eastAsia="SimSun" w:hAnsi="Cambria Math" w:cs="Times New Roman"/>
                <w:snapToGrid w:val="0"/>
                <w:color w:val="000000" w:themeColor="text1"/>
                <w:kern w:val="0"/>
                <w14:ligatures w14:val="none"/>
              </w:rPr>
              <m:t>f</m:t>
            </m:r>
          </m:e>
          <m:sub>
            <m:r>
              <w:rPr>
                <w:rFonts w:ascii="Cambria Math" w:eastAsia="SimSun" w:hAnsi="Cambria Math" w:cs="Times New Roman"/>
                <w:snapToGrid w:val="0"/>
                <w:color w:val="000000" w:themeColor="text1"/>
                <w:kern w:val="0"/>
                <w14:ligatures w14:val="none"/>
              </w:rPr>
              <m:t>θ</m:t>
            </m:r>
          </m:sub>
        </m:sSub>
        <m:r>
          <w:rPr>
            <w:rFonts w:ascii="Cambria Math" w:eastAsia="SimSun" w:hAnsi="Cambria Math" w:cs="Times New Roman"/>
            <w:snapToGrid w:val="0"/>
            <w:color w:val="000000" w:themeColor="text1"/>
            <w:kern w:val="0"/>
            <w14:ligatures w14:val="none"/>
          </w:rPr>
          <m:t xml:space="preserve">(⋅) </m:t>
        </m:r>
      </m:oMath>
      <w:r w:rsidRPr="009B043D">
        <w:rPr>
          <w:rFonts w:ascii="Times New Roman" w:eastAsia="SimSun" w:hAnsi="Times New Roman" w:cs="Times New Roman"/>
          <w:snapToGrid w:val="0"/>
          <w:color w:val="000000" w:themeColor="text1"/>
          <w:kern w:val="0"/>
          <w14:ligatures w14:val="none"/>
        </w:rPr>
        <w:t xml:space="preserve">represents the neural network parameterized by weights </w:t>
      </w:r>
      <m:oMath>
        <m:r>
          <w:rPr>
            <w:rFonts w:ascii="Cambria Math" w:eastAsia="SimSun" w:hAnsi="Cambria Math" w:cs="Times New Roman"/>
            <w:snapToGrid w:val="0"/>
            <w:color w:val="000000" w:themeColor="text1"/>
            <w:kern w:val="0"/>
            <w14:ligatures w14:val="none"/>
          </w:rPr>
          <m:t>θ</m:t>
        </m:r>
      </m:oMath>
      <w:r w:rsidRPr="009B043D">
        <w:rPr>
          <w:rFonts w:ascii="Times New Roman" w:eastAsia="SimSun" w:hAnsi="Times New Roman" w:cs="Times New Roman"/>
          <w:snapToGrid w:val="0"/>
          <w:color w:val="000000" w:themeColor="text1"/>
          <w:kern w:val="0"/>
          <w14:ligatures w14:val="none"/>
        </w:rPr>
        <w:t>. The temporal component is modeled using a gated recurrent unit (GRU)</w:t>
      </w:r>
      <w:r w:rsidRPr="009B043D">
        <w:rPr>
          <w:rFonts w:ascii="Times New Roman" w:hAnsi="Times New Roman" w:cs="Times New Roman"/>
          <w:snapToGrid w:val="0"/>
          <w:color w:val="000000" w:themeColor="text1"/>
          <w:kern w:val="0"/>
          <w:lang w:eastAsia="zh-CN"/>
          <w14:ligatures w14:val="none"/>
        </w:rPr>
        <w:t xml:space="preserve"> enhanced with attention patterns inspired by recent financial tail-risk prediction architectures [16]. This allows the temporal encoder to dynamically assign higher attention weights to rare but severe macroeconomic shifts, effectively mitigating tail-risk pricing distortions</w:t>
      </w:r>
      <w:r w:rsidRPr="009B043D">
        <w:rPr>
          <w:rFonts w:ascii="Times New Roman" w:eastAsia="SimSun" w:hAnsi="Times New Roman" w:cs="Times New Roman"/>
          <w:snapToGrid w:val="0"/>
          <w:color w:val="000000" w:themeColor="text1"/>
          <w:kern w:val="0"/>
          <w14:ligatures w14:val="none"/>
        </w:rPr>
        <w:t>:</w:t>
      </w:r>
    </w:p>
    <w:p w14:paraId="44CC2758"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670E2213" w14:textId="77777777" w:rsidR="009B043D" w:rsidRPr="00212957" w:rsidRDefault="009B043D" w:rsidP="009B043D">
      <w:pPr>
        <w:suppressAutoHyphens/>
        <w:adjustRightInd w:val="0"/>
        <w:snapToGrid w:val="0"/>
        <w:spacing w:after="0" w:line="240" w:lineRule="auto"/>
        <w:ind w:firstLineChars="100" w:firstLine="240"/>
        <w:jc w:val="both"/>
        <w:rPr>
          <w:rFonts w:ascii="Times New Roman" w:hAnsi="Times New Roman" w:cs="Times New Roman"/>
          <w:i/>
          <w:iCs/>
          <w:snapToGrid w:val="0"/>
          <w:color w:val="000000" w:themeColor="text1"/>
          <w:kern w:val="0"/>
        </w:rPr>
      </w:pPr>
      <m:oMathPara>
        <m:oMathParaPr>
          <m:jc m:val="center"/>
        </m:oMathParaPr>
        <m:oMath>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h</m:t>
              </m:r>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=GRU(</m:t>
          </m:r>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h</m:t>
              </m:r>
            </m:e>
            <m:sub>
              <m:r>
                <w:rPr>
                  <w:rFonts w:ascii="Cambria Math" w:hAnsi="Cambria Math" w:cs="Times New Roman"/>
                  <w:snapToGrid w:val="0"/>
                  <w:color w:val="000000" w:themeColor="text1"/>
                  <w:kern w:val="0"/>
                  <w:lang w:eastAsia="zh-CN"/>
                  <w14:ligatures w14:val="none"/>
                </w:rPr>
                <m:t>t-1</m:t>
              </m:r>
            </m:sub>
          </m:sSub>
          <m:r>
            <w:rPr>
              <w:rFonts w:ascii="Cambria Math" w:eastAsia="SimSun" w:hAnsi="Cambria Math" w:cs="Times New Roman"/>
              <w:snapToGrid w:val="0"/>
              <w:color w:val="000000" w:themeColor="text1"/>
              <w:kern w:val="0"/>
              <w:lang w:eastAsia="zh-CN"/>
              <w14:ligatures w14:val="none"/>
            </w:rPr>
            <m:t>,</m:t>
          </m:r>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hAnsi="Cambria Math" w:cs="Times New Roman"/>
                  <w:snapToGrid w:val="0"/>
                  <w:color w:val="000000" w:themeColor="text1"/>
                  <w:kern w:val="0"/>
                  <w:lang w:eastAsia="zh-CN"/>
                  <w14:ligatures w14:val="none"/>
                </w:rPr>
                <m:t>z</m:t>
              </m:r>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m:t>
          </m:r>
          <m:r>
            <w:rPr>
              <w:rFonts w:ascii="Cambria Math" w:hAnsi="Cambria Math" w:cs="Times New Roman"/>
              <w:snapToGrid w:val="0"/>
              <w:color w:val="000000" w:themeColor="text1"/>
              <w:kern w:val="0"/>
              <w:lang w:eastAsia="zh-CN"/>
              <w14:ligatures w14:val="none"/>
            </w:rPr>
            <m:t xml:space="preserve">                                                   (2</m:t>
          </m:r>
          <m:r>
            <w:rPr>
              <w:rFonts w:ascii="Cambria Math" w:hAnsi="Cambria Math" w:cs="Times New Roman"/>
              <w:snapToGrid w:val="0"/>
              <w:color w:val="000000" w:themeColor="text1"/>
              <w:kern w:val="0"/>
              <w:lang w:eastAsia="zh-CN"/>
              <w14:ligatures w14:val="none"/>
            </w:rPr>
            <m:t>)</m:t>
          </m:r>
        </m:oMath>
      </m:oMathPara>
    </w:p>
    <w:p w14:paraId="243E1B34"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 xml:space="preserve"> </w:t>
      </w:r>
    </w:p>
    <w:p w14:paraId="7DA66DBB"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 xml:space="preserve">where </w:t>
      </w:r>
      <m:oMath>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hAnsi="Cambria Math" w:cs="Times New Roman"/>
                <w:snapToGrid w:val="0"/>
                <w:color w:val="000000" w:themeColor="text1"/>
                <w:kern w:val="0"/>
                <w:lang w:eastAsia="zh-CN"/>
                <w14:ligatures w14:val="none"/>
              </w:rPr>
              <m:t>z</m:t>
            </m:r>
          </m:e>
          <m:sub>
            <m:r>
              <w:rPr>
                <w:rFonts w:ascii="Cambria Math" w:hAnsi="Cambria Math" w:cs="Times New Roman"/>
                <w:snapToGrid w:val="0"/>
                <w:color w:val="000000" w:themeColor="text1"/>
                <w:kern w:val="0"/>
                <w:lang w:eastAsia="zh-CN"/>
                <w14:ligatures w14:val="none"/>
              </w:rPr>
              <m:t>t</m:t>
            </m:r>
          </m:sub>
        </m:sSub>
      </m:oMath>
      <w:r w:rsidRPr="009B043D">
        <w:rPr>
          <w:rFonts w:ascii="Times New Roman" w:eastAsia="SimSun" w:hAnsi="Times New Roman" w:cs="Times New Roman"/>
          <w:snapToGrid w:val="0"/>
          <w:color w:val="000000" w:themeColor="text1"/>
          <w:kern w:val="0"/>
          <w14:ligatures w14:val="none"/>
        </w:rPr>
        <w:t xml:space="preserve"> includes macroeconomic variables, interest rates, rental yields, and regional market indicators. The spatial module is formulated using a graph convolution operation:</w:t>
      </w:r>
    </w:p>
    <w:p w14:paraId="74CCA8F3"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6A7A6298" w14:textId="77777777" w:rsidR="009B043D" w:rsidRPr="00212957" w:rsidRDefault="009B043D" w:rsidP="009B043D">
      <w:pPr>
        <w:suppressAutoHyphens/>
        <w:adjustRightInd w:val="0"/>
        <w:snapToGrid w:val="0"/>
        <w:spacing w:after="0" w:line="240" w:lineRule="auto"/>
        <w:ind w:firstLineChars="100" w:firstLine="240"/>
        <w:jc w:val="both"/>
        <w:rPr>
          <w:rFonts w:ascii="Times New Roman" w:hAnsi="Times New Roman" w:cs="Times New Roman"/>
          <w:i/>
          <w:iCs/>
          <w:snapToGrid w:val="0"/>
          <w:color w:val="000000" w:themeColor="text1"/>
          <w:kern w:val="0"/>
        </w:rPr>
      </w:pPr>
      <m:oMathPara>
        <m:oMathParaPr>
          <m:jc m:val="center"/>
        </m:oMathParaPr>
        <m:oMath>
          <m:r>
            <w:rPr>
              <w:rFonts w:ascii="Cambria Math" w:eastAsia="SimSun" w:hAnsi="Cambria Math" w:cs="Times New Roman"/>
              <w:snapToGrid w:val="0"/>
              <w:color w:val="000000" w:themeColor="text1"/>
              <w:kern w:val="0"/>
              <w:lang w:eastAsia="zh-CN"/>
              <w14:ligatures w14:val="none"/>
            </w:rPr>
            <m:t>s=GCN(A,X),</m:t>
          </m:r>
          <m:r>
            <w:rPr>
              <w:rFonts w:ascii="Cambria Math" w:hAnsi="Cambria Math" w:cs="Times New Roman"/>
              <w:snapToGrid w:val="0"/>
              <w:color w:val="000000" w:themeColor="text1"/>
              <w:kern w:val="0"/>
              <w:lang w:eastAsia="zh-CN"/>
              <w14:ligatures w14:val="none"/>
            </w:rPr>
            <m:t xml:space="preserve">                                                          (3</m:t>
          </m:r>
          <m:r>
            <w:rPr>
              <w:rFonts w:ascii="Cambria Math" w:hAnsi="Cambria Math" w:cs="Times New Roman"/>
              <w:snapToGrid w:val="0"/>
              <w:color w:val="000000" w:themeColor="text1"/>
              <w:kern w:val="0"/>
              <w:lang w:eastAsia="zh-CN"/>
              <w14:ligatures w14:val="none"/>
            </w:rPr>
            <m:t>)</m:t>
          </m:r>
        </m:oMath>
      </m:oMathPara>
    </w:p>
    <w:p w14:paraId="742545D8"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 xml:space="preserve"> </w:t>
      </w:r>
    </w:p>
    <w:p w14:paraId="54F56D7F"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 xml:space="preserve">where </w:t>
      </w:r>
      <m:oMath>
        <m:r>
          <w:rPr>
            <w:rFonts w:ascii="Cambria Math" w:eastAsia="SimSun" w:hAnsi="Cambria Math" w:cs="Times New Roman"/>
            <w:snapToGrid w:val="0"/>
            <w:color w:val="000000" w:themeColor="text1"/>
            <w:kern w:val="0"/>
            <w14:ligatures w14:val="none"/>
          </w:rPr>
          <m:t>A</m:t>
        </m:r>
      </m:oMath>
      <w:r w:rsidRPr="009B043D">
        <w:rPr>
          <w:rFonts w:ascii="Times New Roman" w:eastAsia="SimSun" w:hAnsi="Times New Roman" w:cs="Times New Roman"/>
          <w:snapToGrid w:val="0"/>
          <w:color w:val="000000" w:themeColor="text1"/>
          <w:kern w:val="0"/>
          <w14:ligatures w14:val="none"/>
        </w:rPr>
        <w:t xml:space="preserve"> is the adjacency matrix of spatial proximities and </w:t>
      </w:r>
      <m:oMath>
        <m:r>
          <w:rPr>
            <w:rFonts w:ascii="Cambria Math" w:eastAsia="SimSun" w:hAnsi="Cambria Math" w:cs="Times New Roman"/>
            <w:snapToGrid w:val="0"/>
            <w:color w:val="000000" w:themeColor="text1"/>
            <w:kern w:val="0"/>
            <w14:ligatures w14:val="none"/>
          </w:rPr>
          <m:t>X</m:t>
        </m:r>
      </m:oMath>
      <w:r w:rsidRPr="009B043D">
        <w:rPr>
          <w:rFonts w:ascii="Times New Roman" w:eastAsia="SimSun" w:hAnsi="Times New Roman" w:cs="Times New Roman"/>
          <w:snapToGrid w:val="0"/>
          <w:color w:val="000000" w:themeColor="text1"/>
          <w:kern w:val="0"/>
          <w14:ligatures w14:val="none"/>
        </w:rPr>
        <w:t xml:space="preserve"> denotes the matrix of spatial attributes. This formulation allows the model to encode neighborhood effects and urban morphology.</w:t>
      </w:r>
    </w:p>
    <w:p w14:paraId="66768F0E"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The final valuation output is used to compute the tokenization price. To ensure temporal smoothness and prevent extreme fluctuations, the model incorporates a regularization term:</w:t>
      </w:r>
    </w:p>
    <w:p w14:paraId="6D5AF7D5"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55E287DC" w14:textId="77777777" w:rsidR="009B043D" w:rsidRPr="00212957" w:rsidRDefault="009B043D" w:rsidP="009B043D">
      <w:pPr>
        <w:suppressAutoHyphens/>
        <w:adjustRightInd w:val="0"/>
        <w:snapToGrid w:val="0"/>
        <w:spacing w:after="0" w:line="240" w:lineRule="auto"/>
        <w:ind w:firstLineChars="100" w:firstLine="240"/>
        <w:jc w:val="both"/>
        <w:rPr>
          <w:rFonts w:ascii="Times New Roman" w:hAnsi="Times New Roman" w:cs="Times New Roman"/>
          <w:i/>
          <w:iCs/>
          <w:snapToGrid w:val="0"/>
          <w:color w:val="000000" w:themeColor="text1"/>
          <w:kern w:val="0"/>
        </w:rPr>
      </w:pPr>
      <m:oMathPara>
        <m:oMathParaPr>
          <m:jc m:val="center"/>
        </m:oMathParaPr>
        <m:oMath>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L</m:t>
              </m:r>
            </m:e>
            <m:sub>
              <m:r>
                <w:rPr>
                  <w:rFonts w:ascii="Cambria Math" w:eastAsia="SimSun" w:hAnsi="Cambria Math" w:cs="Times New Roman"/>
                  <w:snapToGrid w:val="0"/>
                  <w:color w:val="000000" w:themeColor="text1"/>
                  <w:kern w:val="0"/>
                  <w:lang w:eastAsia="zh-CN"/>
                  <w14:ligatures w14:val="none"/>
                </w:rPr>
                <m:t>smooth</m:t>
              </m:r>
            </m:sub>
          </m:sSub>
          <m:r>
            <w:rPr>
              <w:rFonts w:ascii="Cambria Math" w:eastAsia="SimSun" w:hAnsi="Cambria Math" w:cs="Times New Roman"/>
              <w:snapToGrid w:val="0"/>
              <w:color w:val="000000" w:themeColor="text1"/>
              <w:kern w:val="0"/>
              <w:lang w:eastAsia="zh-CN"/>
              <w14:ligatures w14:val="none"/>
            </w:rPr>
            <m:t>=λ⋅∥</m:t>
          </m:r>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m:t>
          </m:r>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t-1</m:t>
              </m:r>
            </m:sub>
          </m:sSub>
          <m:sSup>
            <m:sSupPr>
              <m:ctrlPr>
                <w:rPr>
                  <w:rFonts w:ascii="Cambria Math" w:eastAsia="SimSun" w:hAnsi="Cambria Math" w:cs="Times New Roman"/>
                  <w:i/>
                  <w:iCs/>
                  <w:snapToGrid w:val="0"/>
                  <w:color w:val="000000" w:themeColor="text1"/>
                  <w:kern w:val="0"/>
                  <w:lang w:eastAsia="zh-CN"/>
                  <w14:ligatures w14:val="none"/>
                </w:rPr>
              </m:ctrlPr>
            </m:sSupPr>
            <m:e>
              <m:r>
                <w:rPr>
                  <w:rFonts w:ascii="Cambria Math" w:eastAsia="SimSun" w:hAnsi="Cambria Math" w:cs="Times New Roman"/>
                  <w:snapToGrid w:val="0"/>
                  <w:color w:val="000000" w:themeColor="text1"/>
                  <w:kern w:val="0"/>
                  <w:lang w:eastAsia="zh-CN"/>
                  <w14:ligatures w14:val="none"/>
                </w:rPr>
                <m:t>∥</m:t>
              </m:r>
            </m:e>
            <m:sup>
              <m:r>
                <w:rPr>
                  <w:rFonts w:ascii="Cambria Math" w:hAnsi="Cambria Math" w:cs="Times New Roman"/>
                  <w:snapToGrid w:val="0"/>
                  <w:color w:val="000000" w:themeColor="text1"/>
                  <w:kern w:val="0"/>
                  <w:lang w:eastAsia="zh-CN"/>
                  <w14:ligatures w14:val="none"/>
                </w:rPr>
                <m:t>2</m:t>
              </m:r>
            </m:sup>
          </m:sSup>
          <m:r>
            <w:rPr>
              <w:rFonts w:ascii="Cambria Math" w:hAnsi="Cambria Math" w:cs="Times New Roman"/>
              <w:snapToGrid w:val="0"/>
              <w:color w:val="000000" w:themeColor="text1"/>
              <w:kern w:val="0"/>
              <w:lang w:eastAsia="zh-CN"/>
              <w14:ligatures w14:val="none"/>
            </w:rPr>
            <m:t>,                                            (4</m:t>
          </m:r>
          <m:r>
            <w:rPr>
              <w:rFonts w:ascii="Cambria Math" w:hAnsi="Cambria Math" w:cs="Times New Roman"/>
              <w:snapToGrid w:val="0"/>
              <w:color w:val="000000" w:themeColor="text1"/>
              <w:kern w:val="0"/>
              <w:lang w:eastAsia="zh-CN"/>
              <w14:ligatures w14:val="none"/>
            </w:rPr>
            <m:t>)</m:t>
          </m:r>
        </m:oMath>
      </m:oMathPara>
    </w:p>
    <w:p w14:paraId="6E82E8E6"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 xml:space="preserve"> </w:t>
      </w:r>
    </w:p>
    <w:p w14:paraId="2F2DA190"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The total training loss is:</w:t>
      </w:r>
    </w:p>
    <w:p w14:paraId="049BDB45"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6A37A441" w14:textId="77777777" w:rsidR="009B043D" w:rsidRPr="00212957" w:rsidRDefault="009B043D" w:rsidP="009B043D">
      <w:pPr>
        <w:suppressAutoHyphens/>
        <w:adjustRightInd w:val="0"/>
        <w:snapToGrid w:val="0"/>
        <w:spacing w:after="0" w:line="240" w:lineRule="auto"/>
        <w:ind w:firstLineChars="100" w:firstLine="240"/>
        <w:jc w:val="both"/>
        <w:rPr>
          <w:rFonts w:ascii="Times New Roman" w:hAnsi="Times New Roman" w:cs="Times New Roman"/>
          <w:i/>
          <w:iCs/>
          <w:snapToGrid w:val="0"/>
          <w:color w:val="000000" w:themeColor="text1"/>
          <w:kern w:val="0"/>
        </w:rPr>
      </w:pPr>
      <m:oMathPara>
        <m:oMathParaPr>
          <m:jc m:val="center"/>
        </m:oMathParaPr>
        <m:oMath>
          <m:r>
            <w:rPr>
              <w:rFonts w:ascii="Cambria Math" w:eastAsia="SimSun" w:hAnsi="Cambria Math" w:cs="Times New Roman"/>
              <w:snapToGrid w:val="0"/>
              <w:color w:val="000000" w:themeColor="text1"/>
              <w:kern w:val="0"/>
              <w:lang w:eastAsia="zh-CN"/>
              <w14:ligatures w14:val="none"/>
            </w:rPr>
            <m:t>L=</m:t>
          </m:r>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L</m:t>
              </m:r>
            </m:e>
            <m:sub>
              <m:r>
                <w:rPr>
                  <w:rFonts w:ascii="Cambria Math" w:hAnsi="Cambria Math" w:cs="Times New Roman"/>
                  <w:snapToGrid w:val="0"/>
                  <w:color w:val="000000" w:themeColor="text1"/>
                  <w:kern w:val="0"/>
                  <w:lang w:eastAsia="zh-CN"/>
                  <w14:ligatures w14:val="none"/>
                </w:rPr>
                <m:t>MSE</m:t>
              </m:r>
            </m:sub>
          </m:sSub>
          <m:r>
            <w:rPr>
              <w:rFonts w:ascii="Cambria Math" w:eastAsia="SimSun" w:hAnsi="Cambria Math" w:cs="Times New Roman"/>
              <w:snapToGrid w:val="0"/>
              <w:color w:val="000000" w:themeColor="text1"/>
              <w:kern w:val="0"/>
              <w:lang w:eastAsia="zh-CN"/>
              <w14:ligatures w14:val="none"/>
            </w:rPr>
            <m:t>+</m:t>
          </m:r>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L</m:t>
              </m:r>
            </m:e>
            <m:sub>
              <m:r>
                <w:rPr>
                  <w:rFonts w:ascii="Cambria Math" w:hAnsi="Cambria Math" w:cs="Times New Roman"/>
                  <w:snapToGrid w:val="0"/>
                  <w:color w:val="000000" w:themeColor="text1"/>
                  <w:kern w:val="0"/>
                  <w:lang w:eastAsia="zh-CN"/>
                  <w14:ligatures w14:val="none"/>
                </w:rPr>
                <m:t>smooth</m:t>
              </m:r>
            </m:sub>
          </m:sSub>
          <m:r>
            <w:rPr>
              <w:rFonts w:ascii="Cambria Math" w:eastAsia="SimSun" w:hAnsi="Cambria Math" w:cs="Times New Roman"/>
              <w:snapToGrid w:val="0"/>
              <w:color w:val="000000" w:themeColor="text1"/>
              <w:kern w:val="0"/>
              <w:lang w:eastAsia="zh-CN"/>
              <w14:ligatures w14:val="none"/>
            </w:rPr>
            <m:t>,</m:t>
          </m:r>
          <m:r>
            <w:rPr>
              <w:rFonts w:ascii="Cambria Math" w:hAnsi="Cambria Math" w:cs="Times New Roman"/>
              <w:snapToGrid w:val="0"/>
              <w:color w:val="000000" w:themeColor="text1"/>
              <w:kern w:val="0"/>
              <w:lang w:eastAsia="zh-CN"/>
              <w14:ligatures w14:val="none"/>
            </w:rPr>
            <m:t xml:space="preserve">                                                (5</m:t>
          </m:r>
          <m:r>
            <w:rPr>
              <w:rFonts w:ascii="Cambria Math" w:hAnsi="Cambria Math" w:cs="Times New Roman"/>
              <w:snapToGrid w:val="0"/>
              <w:color w:val="000000" w:themeColor="text1"/>
              <w:kern w:val="0"/>
              <w:lang w:eastAsia="zh-CN"/>
              <w14:ligatures w14:val="none"/>
            </w:rPr>
            <m:t>)</m:t>
          </m:r>
        </m:oMath>
      </m:oMathPara>
    </w:p>
    <w:p w14:paraId="73A548AC"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 xml:space="preserve"> </w:t>
      </w:r>
    </w:p>
    <w:p w14:paraId="26E1E061"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 xml:space="preserve">where </w:t>
      </w:r>
      <m:oMath>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L</m:t>
            </m:r>
          </m:e>
          <m:sub>
            <m:r>
              <w:rPr>
                <w:rFonts w:ascii="Cambria Math" w:hAnsi="Cambria Math" w:cs="Times New Roman"/>
                <w:snapToGrid w:val="0"/>
                <w:color w:val="000000" w:themeColor="text1"/>
                <w:kern w:val="0"/>
                <w:lang w:eastAsia="zh-CN"/>
                <w14:ligatures w14:val="none"/>
              </w:rPr>
              <m:t>MSE</m:t>
            </m:r>
          </m:sub>
        </m:sSub>
      </m:oMath>
      <w:r w:rsidRPr="009B043D">
        <w:rPr>
          <w:rFonts w:ascii="Times New Roman" w:eastAsia="SimSun" w:hAnsi="Times New Roman" w:cs="Times New Roman"/>
          <w:snapToGrid w:val="0"/>
          <w:color w:val="000000" w:themeColor="text1"/>
          <w:kern w:val="0"/>
          <w14:ligatures w14:val="none"/>
        </w:rPr>
        <w:t xml:space="preserve"> penalizes prediction errors against ground truth price data. This architecture enables DAREA to continuously update asset valuations while maintaining stability and interpretability, providing a mathematically grounded foundation for on-chain price adjustments.</w:t>
      </w:r>
    </w:p>
    <w:p w14:paraId="4269A050" w14:textId="77777777" w:rsidR="009B043D" w:rsidRPr="00212957" w:rsidRDefault="009B043D" w:rsidP="009B043D">
      <w:pPr>
        <w:keepNext/>
        <w:keepLines/>
        <w:numPr>
          <w:ilvl w:val="1"/>
          <w:numId w:val="0"/>
        </w:numPr>
        <w:tabs>
          <w:tab w:val="left" w:pos="0"/>
        </w:tabs>
        <w:suppressAutoHyphens/>
        <w:adjustRightInd w:val="0"/>
        <w:snapToGrid w:val="0"/>
        <w:spacing w:after="0" w:line="240" w:lineRule="auto"/>
        <w:jc w:val="both"/>
        <w:outlineLvl w:val="1"/>
        <w:rPr>
          <w:rFonts w:ascii="Times New Roman" w:hAnsi="Times New Roman" w:cs="Times New Roman"/>
          <w:b/>
          <w:bCs/>
          <w:iCs/>
          <w:snapToGrid w:val="0"/>
          <w:color w:val="000000" w:themeColor="text1"/>
          <w:kern w:val="0"/>
        </w:rPr>
      </w:pPr>
      <w:r w:rsidRPr="00212957">
        <w:rPr>
          <w:rFonts w:ascii="Times New Roman" w:hAnsi="Times New Roman" w:cs="Times New Roman"/>
          <w:b/>
          <w:bCs/>
          <w:iCs/>
          <w:snapToGrid w:val="0"/>
          <w:color w:val="000000" w:themeColor="text1"/>
          <w:kern w:val="0"/>
          <w:lang w:eastAsia="zh-CN"/>
        </w:rPr>
        <w:t>3.3 Blockchain-Based Tokenization and Smart Contract Layer</w:t>
      </w:r>
    </w:p>
    <w:p w14:paraId="6937E3F1" w14:textId="77777777" w:rsidR="009B043D" w:rsidRPr="009B043D" w:rsidRDefault="009B043D" w:rsidP="009B043D">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 xml:space="preserve">The Blockchain Tokenization Layer implements fractional ownership using compliant security-token standards. Each real estate asset </w:t>
      </w:r>
      <m:oMath>
        <m:sSub>
          <m:sSubPr>
            <m:ctrlPr>
              <w:rPr>
                <w:rFonts w:ascii="Cambria Math" w:eastAsia="SimSun" w:hAnsi="Cambria Math" w:cs="Times New Roman"/>
                <w:i/>
                <w:snapToGrid w:val="0"/>
                <w:color w:val="000000" w:themeColor="text1"/>
                <w:kern w:val="0"/>
                <w14:ligatures w14:val="none"/>
              </w:rPr>
            </m:ctrlPr>
          </m:sSubPr>
          <m:e>
            <m:r>
              <w:rPr>
                <w:rFonts w:ascii="Cambria Math" w:eastAsia="SimSun" w:hAnsi="Cambria Math" w:cs="Times New Roman"/>
                <w:snapToGrid w:val="0"/>
                <w:color w:val="000000" w:themeColor="text1"/>
                <w:kern w:val="0"/>
                <w14:ligatures w14:val="none"/>
              </w:rPr>
              <m:t>a</m:t>
            </m:r>
          </m:e>
          <m:sub>
            <m:r>
              <w:rPr>
                <w:rFonts w:ascii="Cambria Math" w:hAnsi="Cambria Math" w:cs="Times New Roman"/>
                <w:snapToGrid w:val="0"/>
                <w:color w:val="000000" w:themeColor="text1"/>
                <w:kern w:val="0"/>
                <w:lang w:eastAsia="zh-CN"/>
                <w14:ligatures w14:val="none"/>
              </w:rPr>
              <m:t>i</m:t>
            </m:r>
          </m:sub>
        </m:sSub>
      </m:oMath>
      <w:r w:rsidRPr="009B043D">
        <w:rPr>
          <w:rFonts w:ascii="Times New Roman" w:eastAsia="SimSun" w:hAnsi="Times New Roman" w:cs="Times New Roman"/>
          <w:snapToGrid w:val="0"/>
          <w:color w:val="000000" w:themeColor="text1"/>
          <w:kern w:val="0"/>
          <w14:ligatures w14:val="none"/>
        </w:rPr>
        <w:t xml:space="preserve"> is associated with a token contract </w:t>
      </w:r>
      <m:oMath>
        <m:sSub>
          <m:sSubPr>
            <m:ctrlPr>
              <w:rPr>
                <w:rFonts w:ascii="Cambria Math" w:eastAsia="SimSun" w:hAnsi="Cambria Math" w:cs="Times New Roman"/>
                <w:i/>
                <w:snapToGrid w:val="0"/>
                <w:color w:val="000000" w:themeColor="text1"/>
                <w:kern w:val="0"/>
                <w14:ligatures w14:val="none"/>
              </w:rPr>
            </m:ctrlPr>
          </m:sSubPr>
          <m:e>
            <m:r>
              <w:rPr>
                <w:rFonts w:ascii="Cambria Math" w:eastAsia="SimSun" w:hAnsi="Cambria Math" w:cs="Times New Roman"/>
                <w:snapToGrid w:val="0"/>
                <w:color w:val="000000" w:themeColor="text1"/>
                <w:kern w:val="0"/>
                <w14:ligatures w14:val="none"/>
              </w:rPr>
              <m:t>C</m:t>
            </m:r>
          </m:e>
          <m:sub>
            <m:r>
              <w:rPr>
                <w:rFonts w:ascii="Cambria Math" w:hAnsi="Cambria Math" w:cs="Times New Roman"/>
                <w:snapToGrid w:val="0"/>
                <w:color w:val="000000" w:themeColor="text1"/>
                <w:kern w:val="0"/>
                <w:lang w:eastAsia="zh-CN"/>
                <w14:ligatures w14:val="none"/>
              </w:rPr>
              <m:t>i</m:t>
            </m:r>
          </m:sub>
        </m:sSub>
      </m:oMath>
      <w:r w:rsidRPr="009B043D">
        <w:rPr>
          <w:rFonts w:ascii="Times New Roman" w:eastAsia="SimSun" w:hAnsi="Times New Roman" w:cs="Times New Roman"/>
          <w:snapToGrid w:val="0"/>
          <w:color w:val="000000" w:themeColor="text1"/>
          <w:kern w:val="0"/>
          <w14:ligatures w14:val="none"/>
        </w:rPr>
        <w:t>, where the total token supply is defined as:</w:t>
      </w:r>
    </w:p>
    <w:p w14:paraId="20308E50"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01D04CE9" w14:textId="77777777" w:rsidR="009B043D" w:rsidRPr="00212957" w:rsidRDefault="009B043D" w:rsidP="009B043D">
      <w:pPr>
        <w:suppressAutoHyphens/>
        <w:adjustRightInd w:val="0"/>
        <w:snapToGrid w:val="0"/>
        <w:spacing w:after="0" w:line="240" w:lineRule="auto"/>
        <w:ind w:firstLineChars="100" w:firstLine="240"/>
        <w:jc w:val="both"/>
        <w:rPr>
          <w:rFonts w:ascii="Times New Roman" w:hAnsi="Times New Roman" w:cs="Times New Roman"/>
          <w:i/>
          <w:iCs/>
          <w:snapToGrid w:val="0"/>
          <w:color w:val="000000" w:themeColor="text1"/>
          <w:kern w:val="0"/>
        </w:rPr>
      </w:pPr>
      <m:oMathPara>
        <m:oMathParaPr>
          <m:jc m:val="center"/>
        </m:oMathParaPr>
        <m:oMath>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T</m:t>
              </m:r>
            </m:e>
            <m:sub>
              <m:r>
                <w:rPr>
                  <w:rFonts w:ascii="Cambria Math" w:hAnsi="Cambria Math" w:cs="Times New Roman"/>
                  <w:snapToGrid w:val="0"/>
                  <w:color w:val="000000" w:themeColor="text1"/>
                  <w:kern w:val="0"/>
                  <w:lang w:eastAsia="zh-CN"/>
                  <w14:ligatures w14:val="none"/>
                </w:rPr>
                <m:t>i</m:t>
              </m:r>
            </m:sub>
          </m:sSub>
          <m:r>
            <w:rPr>
              <w:rFonts w:ascii="Cambria Math" w:eastAsia="SimSun" w:hAnsi="Cambria Math" w:cs="Times New Roman"/>
              <w:snapToGrid w:val="0"/>
              <w:color w:val="000000" w:themeColor="text1"/>
              <w:kern w:val="0"/>
              <w:lang w:eastAsia="zh-CN"/>
              <w14:ligatures w14:val="none"/>
            </w:rPr>
            <m:t>=</m:t>
          </m:r>
          <m:f>
            <m:fPr>
              <m:ctrlPr>
                <w:rPr>
                  <w:rFonts w:ascii="Cambria Math" w:eastAsia="SimSun" w:hAnsi="Cambria Math" w:cs="Times New Roman"/>
                  <w:i/>
                  <w:iCs/>
                  <w:snapToGrid w:val="0"/>
                  <w:color w:val="000000" w:themeColor="text1"/>
                  <w:kern w:val="0"/>
                  <w:lang w:eastAsia="zh-CN"/>
                  <w14:ligatures w14:val="none"/>
                </w:rPr>
              </m:ctrlPr>
            </m:fPr>
            <m:num>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m:t>
                  </m:r>
                </m:sub>
              </m:sSub>
            </m:num>
            <m:den>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p</m:t>
                  </m:r>
                </m:e>
                <m:sub>
                  <m:r>
                    <w:rPr>
                      <w:rFonts w:ascii="Cambria Math" w:hAnsi="Cambria Math" w:cs="Times New Roman"/>
                      <w:snapToGrid w:val="0"/>
                      <w:color w:val="000000" w:themeColor="text1"/>
                      <w:kern w:val="0"/>
                      <w:lang w:eastAsia="zh-CN"/>
                      <w14:ligatures w14:val="none"/>
                    </w:rPr>
                    <m:t>0</m:t>
                  </m:r>
                </m:sub>
              </m:sSub>
            </m:den>
          </m:f>
          <m:r>
            <w:rPr>
              <w:rFonts w:ascii="Cambria Math" w:eastAsia="SimSun" w:hAnsi="Cambria Math" w:cs="Times New Roman"/>
              <w:snapToGrid w:val="0"/>
              <w:color w:val="000000" w:themeColor="text1"/>
              <w:kern w:val="0"/>
              <w:lang w:eastAsia="zh-CN"/>
              <w14:ligatures w14:val="none"/>
            </w:rPr>
            <m:t>,</m:t>
          </m:r>
          <m:r>
            <w:rPr>
              <w:rFonts w:ascii="Cambria Math" w:hAnsi="Cambria Math" w:cs="Times New Roman"/>
              <w:snapToGrid w:val="0"/>
              <w:color w:val="000000" w:themeColor="text1"/>
              <w:kern w:val="0"/>
              <w:lang w:eastAsia="zh-CN"/>
              <w14:ligatures w14:val="none"/>
            </w:rPr>
            <m:t xml:space="preserve">                                                              (6</m:t>
          </m:r>
          <m:r>
            <w:rPr>
              <w:rFonts w:ascii="Cambria Math" w:hAnsi="Cambria Math" w:cs="Times New Roman"/>
              <w:snapToGrid w:val="0"/>
              <w:color w:val="000000" w:themeColor="text1"/>
              <w:kern w:val="0"/>
              <w:lang w:eastAsia="zh-CN"/>
              <w14:ligatures w14:val="none"/>
            </w:rPr>
            <m:t>)</m:t>
          </m:r>
        </m:oMath>
      </m:oMathPara>
    </w:p>
    <w:p w14:paraId="2F2342D0"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 xml:space="preserve"> </w:t>
      </w:r>
    </w:p>
    <w:p w14:paraId="76C6F9EE"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 xml:space="preserve">with </w:t>
      </w:r>
      <m:oMath>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p</m:t>
            </m:r>
          </m:e>
          <m:sub>
            <m:r>
              <w:rPr>
                <w:rFonts w:ascii="Cambria Math" w:hAnsi="Cambria Math" w:cs="Times New Roman"/>
                <w:snapToGrid w:val="0"/>
                <w:color w:val="000000" w:themeColor="text1"/>
                <w:kern w:val="0"/>
                <w:lang w:eastAsia="zh-CN"/>
                <w14:ligatures w14:val="none"/>
              </w:rPr>
              <m:t>0</m:t>
            </m:r>
          </m:sub>
        </m:sSub>
      </m:oMath>
      <w:r w:rsidRPr="009B043D">
        <w:rPr>
          <w:rFonts w:ascii="Times New Roman" w:eastAsia="SimSun" w:hAnsi="Times New Roman" w:cs="Times New Roman"/>
          <w:snapToGrid w:val="0"/>
          <w:color w:val="000000" w:themeColor="text1"/>
          <w:kern w:val="0"/>
          <w14:ligatures w14:val="none"/>
        </w:rPr>
        <w:t xml:space="preserve"> representing the unit token denomination. The contract records ownership rights, transfer rules, and valuation update logic. To embed valuation adaptivity, DAREA introduces a dynamic state variable:</w:t>
      </w:r>
    </w:p>
    <w:p w14:paraId="4A6F2489"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24D96607" w14:textId="77777777" w:rsidR="009B043D" w:rsidRPr="00212957" w:rsidRDefault="009B043D" w:rsidP="009B043D">
      <w:pPr>
        <w:suppressAutoHyphens/>
        <w:adjustRightInd w:val="0"/>
        <w:snapToGrid w:val="0"/>
        <w:spacing w:after="0" w:line="240" w:lineRule="auto"/>
        <w:ind w:firstLineChars="100" w:firstLine="240"/>
        <w:jc w:val="both"/>
        <w:rPr>
          <w:rFonts w:ascii="Times New Roman" w:hAnsi="Times New Roman" w:cs="Times New Roman"/>
          <w:i/>
          <w:iCs/>
          <w:snapToGrid w:val="0"/>
          <w:color w:val="000000" w:themeColor="text1"/>
          <w:kern w:val="0"/>
        </w:rPr>
      </w:pPr>
      <m:oMathPara>
        <m:oMathParaPr>
          <m:jc m:val="center"/>
        </m:oMathParaPr>
        <m:oMath>
          <m:r>
            <w:rPr>
              <w:rFonts w:ascii="Cambria Math" w:eastAsia="SimSun" w:hAnsi="Cambria Math" w:cs="Times New Roman"/>
              <w:snapToGrid w:val="0"/>
              <w:color w:val="000000" w:themeColor="text1"/>
              <w:kern w:val="0"/>
              <w:lang w:eastAsia="zh-CN"/>
              <w14:ligatures w14:val="none"/>
            </w:rPr>
            <m:t>stat</m:t>
          </m:r>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e</m:t>
              </m:r>
            </m:e>
            <m:sub>
              <m:r>
                <w:rPr>
                  <w:rFonts w:ascii="Cambria Math" w:hAnsi="Cambria Math" w:cs="Times New Roman"/>
                  <w:snapToGrid w:val="0"/>
                  <w:color w:val="000000" w:themeColor="text1"/>
                  <w:kern w:val="0"/>
                  <w:lang w:eastAsia="zh-CN"/>
                  <w14:ligatures w14:val="none"/>
                </w:rPr>
                <m:t>i</m:t>
              </m:r>
            </m:sub>
          </m:sSub>
          <m:r>
            <w:rPr>
              <w:rFonts w:ascii="Cambria Math" w:eastAsia="SimSun" w:hAnsi="Cambria Math" w:cs="Times New Roman"/>
              <w:snapToGrid w:val="0"/>
              <w:color w:val="000000" w:themeColor="text1"/>
              <w:kern w:val="0"/>
              <w:lang w:eastAsia="zh-CN"/>
              <w14:ligatures w14:val="none"/>
            </w:rPr>
            <m:t>(t)={</m:t>
          </m:r>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m:t>
          </m:r>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T</m:t>
              </m:r>
            </m:e>
            <m:sub>
              <m:r>
                <w:rPr>
                  <w:rFonts w:ascii="Cambria Math" w:hAnsi="Cambria Math" w:cs="Times New Roman"/>
                  <w:snapToGrid w:val="0"/>
                  <w:color w:val="000000" w:themeColor="text1"/>
                  <w:kern w:val="0"/>
                  <w:lang w:eastAsia="zh-CN"/>
                  <w14:ligatures w14:val="none"/>
                </w:rPr>
                <m:t>i</m:t>
              </m:r>
            </m:sub>
          </m:sSub>
          <m:r>
            <w:rPr>
              <w:rFonts w:ascii="Cambria Math" w:eastAsia="SimSun" w:hAnsi="Cambria Math" w:cs="Times New Roman"/>
              <w:snapToGrid w:val="0"/>
              <w:color w:val="000000" w:themeColor="text1"/>
              <w:kern w:val="0"/>
              <w:lang w:eastAsia="zh-CN"/>
              <w14:ligatures w14:val="none"/>
            </w:rPr>
            <m:t>(t),ownership,governance}</m:t>
          </m:r>
          <m:r>
            <w:rPr>
              <w:rFonts w:ascii="Cambria Math" w:hAnsi="Cambria Math" w:cs="Times New Roman"/>
              <w:snapToGrid w:val="0"/>
              <w:color w:val="000000" w:themeColor="text1"/>
              <w:kern w:val="0"/>
              <w:lang w:eastAsia="zh-CN"/>
              <w14:ligatures w14:val="none"/>
            </w:rPr>
            <m:t>,                   (7</m:t>
          </m:r>
          <m:r>
            <w:rPr>
              <w:rFonts w:ascii="Cambria Math" w:hAnsi="Cambria Math" w:cs="Times New Roman"/>
              <w:snapToGrid w:val="0"/>
              <w:color w:val="000000" w:themeColor="text1"/>
              <w:kern w:val="0"/>
              <w:lang w:eastAsia="zh-CN"/>
              <w14:ligatures w14:val="none"/>
            </w:rPr>
            <m:t>)</m:t>
          </m:r>
        </m:oMath>
      </m:oMathPara>
    </w:p>
    <w:p w14:paraId="432BCE3E"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0294071B"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 xml:space="preserve">Each time the AI model produces a new valuation </w:t>
      </w:r>
      <m:oMath>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m:t>
            </m:r>
          </m:sub>
        </m:sSub>
      </m:oMath>
      <w:r w:rsidRPr="009B043D">
        <w:rPr>
          <w:rFonts w:ascii="Times New Roman" w:eastAsia="SimSun" w:hAnsi="Times New Roman" w:cs="Times New Roman"/>
          <w:snapToGrid w:val="0"/>
          <w:color w:val="000000" w:themeColor="text1"/>
          <w:kern w:val="0"/>
          <w14:ligatures w14:val="none"/>
        </w:rPr>
        <w:t>, the blockchain contract updates the token’s intrinsic price by executing an oracle-triggered function:</w:t>
      </w:r>
    </w:p>
    <w:p w14:paraId="03E13D7A"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73001A4E" w14:textId="77777777" w:rsidR="009B043D" w:rsidRPr="00212957"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m:oMathPara>
        <m:oMathParaPr>
          <m:jc m:val="center"/>
        </m:oMathParaPr>
        <m:oMath>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T</m:t>
              </m:r>
            </m:e>
            <m:sub>
              <m:r>
                <w:rPr>
                  <w:rFonts w:ascii="Cambria Math" w:hAnsi="Cambria Math" w:cs="Times New Roman"/>
                  <w:snapToGrid w:val="0"/>
                  <w:color w:val="000000" w:themeColor="text1"/>
                  <w:kern w:val="0"/>
                  <w:lang w:eastAsia="zh-CN"/>
                  <w14:ligatures w14:val="none"/>
                </w:rPr>
                <m:t>i</m:t>
              </m:r>
            </m:sub>
          </m:sSub>
          <m:r>
            <w:rPr>
              <w:rFonts w:ascii="Cambria Math" w:hAnsi="Cambria Math" w:cs="Times New Roman"/>
              <w:snapToGrid w:val="0"/>
              <w:color w:val="000000" w:themeColor="text1"/>
              <w:kern w:val="0"/>
              <w:lang w:eastAsia="zh-CN"/>
              <w14:ligatures w14:val="none"/>
            </w:rPr>
            <m:t>(t)</m:t>
          </m:r>
          <m:r>
            <w:rPr>
              <w:rFonts w:ascii="Cambria Math" w:eastAsia="SimSun" w:hAnsi="Cambria Math" w:cs="Times New Roman"/>
              <w:snapToGrid w:val="0"/>
              <w:color w:val="000000" w:themeColor="text1"/>
              <w:kern w:val="0"/>
              <w:lang w:eastAsia="zh-CN"/>
              <w14:ligatures w14:val="none"/>
            </w:rPr>
            <m:t>=</m:t>
          </m:r>
          <m:f>
            <m:fPr>
              <m:ctrlPr>
                <w:rPr>
                  <w:rFonts w:ascii="Cambria Math" w:eastAsia="SimSun" w:hAnsi="Cambria Math" w:cs="Times New Roman"/>
                  <w:i/>
                  <w:iCs/>
                  <w:snapToGrid w:val="0"/>
                  <w:color w:val="000000" w:themeColor="text1"/>
                  <w:kern w:val="0"/>
                  <w:lang w:eastAsia="zh-CN"/>
                  <w14:ligatures w14:val="none"/>
                </w:rPr>
              </m:ctrlPr>
            </m:fPr>
            <m:num>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m:t>
                  </m:r>
                </m:sub>
              </m:sSub>
            </m:num>
            <m:den>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p</m:t>
                  </m:r>
                </m:e>
                <m:sub>
                  <m:r>
                    <w:rPr>
                      <w:rFonts w:ascii="Cambria Math" w:hAnsi="Cambria Math" w:cs="Times New Roman"/>
                      <w:snapToGrid w:val="0"/>
                      <w:color w:val="000000" w:themeColor="text1"/>
                      <w:kern w:val="0"/>
                      <w:lang w:eastAsia="zh-CN"/>
                      <w14:ligatures w14:val="none"/>
                    </w:rPr>
                    <m:t>0</m:t>
                  </m:r>
                </m:sub>
              </m:sSub>
            </m:den>
          </m:f>
          <m:r>
            <w:rPr>
              <w:rFonts w:ascii="Cambria Math" w:eastAsia="SimSun" w:hAnsi="Cambria Math" w:cs="Times New Roman"/>
              <w:snapToGrid w:val="0"/>
              <w:color w:val="000000" w:themeColor="text1"/>
              <w:kern w:val="0"/>
              <w:lang w:eastAsia="zh-CN"/>
              <w14:ligatures w14:val="none"/>
            </w:rPr>
            <m:t>,</m:t>
          </m:r>
          <m:r>
            <w:rPr>
              <w:rFonts w:ascii="Cambria Math" w:hAnsi="Cambria Math" w:cs="Times New Roman"/>
              <w:snapToGrid w:val="0"/>
              <w:color w:val="000000" w:themeColor="text1"/>
              <w:kern w:val="0"/>
              <w:lang w:eastAsia="zh-CN"/>
              <w14:ligatures w14:val="none"/>
            </w:rPr>
            <m:t xml:space="preserve">                                                            (8</m:t>
          </m:r>
          <m:r>
            <w:rPr>
              <w:rFonts w:ascii="Cambria Math" w:hAnsi="Cambria Math" w:cs="Times New Roman"/>
              <w:snapToGrid w:val="0"/>
              <w:color w:val="000000" w:themeColor="text1"/>
              <w:kern w:val="0"/>
              <w:lang w:eastAsia="zh-CN"/>
              <w14:ligatures w14:val="none"/>
            </w:rPr>
            <m:t>)</m:t>
          </m:r>
        </m:oMath>
      </m:oMathPara>
    </w:p>
    <w:p w14:paraId="65FE20E1"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614040B6"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To avoid excessive token rebasing and ensure regulatory compliance, DAREA uses a bounded update interval and defines:</w:t>
      </w:r>
    </w:p>
    <w:p w14:paraId="78FF724F"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7AD14BFD" w14:textId="77777777" w:rsidR="009B043D" w:rsidRPr="00212957" w:rsidRDefault="009B043D" w:rsidP="009B043D">
      <w:pPr>
        <w:suppressAutoHyphens/>
        <w:adjustRightInd w:val="0"/>
        <w:snapToGrid w:val="0"/>
        <w:spacing w:after="0" w:line="240" w:lineRule="auto"/>
        <w:ind w:firstLineChars="100" w:firstLine="240"/>
        <w:jc w:val="both"/>
        <w:rPr>
          <w:rFonts w:ascii="Times New Roman" w:hAnsi="Times New Roman" w:cs="Times New Roman"/>
          <w:i/>
          <w:iCs/>
          <w:snapToGrid w:val="0"/>
          <w:color w:val="000000" w:themeColor="text1"/>
          <w:kern w:val="0"/>
        </w:rPr>
      </w:pPr>
      <m:oMathPara>
        <m:oMathParaPr>
          <m:jc m:val="center"/>
        </m:oMathParaPr>
        <m:oMath>
          <m:r>
            <w:rPr>
              <w:rFonts w:ascii="Cambria Math" w:eastAsia="SimSun" w:hAnsi="Cambria Math" w:cs="Times New Roman"/>
              <w:snapToGrid w:val="0"/>
              <w:color w:val="000000" w:themeColor="text1"/>
              <w:kern w:val="0"/>
              <w:lang w:eastAsia="zh-CN"/>
              <w14:ligatures w14:val="none"/>
            </w:rPr>
            <m:t>Δ</m:t>
          </m:r>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m:t>
          </m:r>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m:t>
          </m:r>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t-1</m:t>
              </m:r>
            </m:sub>
          </m:sSub>
          <m:r>
            <w:rPr>
              <w:rFonts w:ascii="Cambria Math" w:eastAsia="SimSun" w:hAnsi="Cambria Math" w:cs="Times New Roman"/>
              <w:snapToGrid w:val="0"/>
              <w:color w:val="000000" w:themeColor="text1"/>
              <w:kern w:val="0"/>
              <w:lang w:eastAsia="zh-CN"/>
              <w14:ligatures w14:val="none"/>
            </w:rPr>
            <m:t>,</m:t>
          </m:r>
          <m:r>
            <w:rPr>
              <w:rFonts w:ascii="Cambria Math" w:hAnsi="Cambria Math" w:cs="Times New Roman"/>
              <w:snapToGrid w:val="0"/>
              <w:color w:val="000000" w:themeColor="text1"/>
              <w:kern w:val="0"/>
              <w:lang w:eastAsia="zh-CN"/>
              <w14:ligatures w14:val="none"/>
            </w:rPr>
            <m:t xml:space="preserve">      </m:t>
          </m:r>
          <m:r>
            <w:rPr>
              <w:rFonts w:ascii="Cambria Math" w:eastAsia="SimSun" w:hAnsi="Cambria Math" w:cs="Times New Roman"/>
              <w:snapToGrid w:val="0"/>
              <w:color w:val="000000" w:themeColor="text1"/>
              <w:kern w:val="0"/>
              <w:lang w:eastAsia="zh-CN"/>
              <w14:ligatures w14:val="none"/>
            </w:rPr>
            <m:t>if ∣Δ</m:t>
          </m:r>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∣&lt;ϵ, skip update</m:t>
          </m:r>
          <m:r>
            <w:rPr>
              <w:rFonts w:ascii="Cambria Math" w:hAnsi="Cambria Math" w:cs="Times New Roman"/>
              <w:snapToGrid w:val="0"/>
              <w:color w:val="000000" w:themeColor="text1"/>
              <w:kern w:val="0"/>
              <w:lang w:eastAsia="zh-CN"/>
              <w14:ligatures w14:val="none"/>
            </w:rPr>
            <m:t>,                       (9</m:t>
          </m:r>
          <m:r>
            <w:rPr>
              <w:rFonts w:ascii="Cambria Math" w:hAnsi="Cambria Math" w:cs="Times New Roman"/>
              <w:snapToGrid w:val="0"/>
              <w:color w:val="000000" w:themeColor="text1"/>
              <w:kern w:val="0"/>
              <w:lang w:eastAsia="zh-CN"/>
              <w14:ligatures w14:val="none"/>
            </w:rPr>
            <m:t>)</m:t>
          </m:r>
        </m:oMath>
      </m:oMathPara>
    </w:p>
    <w:p w14:paraId="4A5D1C86"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711C2502"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This mechanism prevents unnecessary token supply adjustments unless significant market changes occur.</w:t>
      </w:r>
    </w:p>
    <w:p w14:paraId="5FC49FE2"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Smart contracts in DAREA also implement programmable governance rules, enabling token holders to vote on valuation frequency, oracle selection, and fractional liquidity operations. The architecture supports automated minting/burning when new valuation cycles begin, and integrates multi-signature verification to enforce institutional auditing.</w:t>
      </w:r>
    </w:p>
    <w:p w14:paraId="15367925" w14:textId="77777777" w:rsidR="009B043D" w:rsidRPr="00212957" w:rsidRDefault="009B043D" w:rsidP="009B043D">
      <w:pPr>
        <w:keepNext/>
        <w:keepLines/>
        <w:numPr>
          <w:ilvl w:val="1"/>
          <w:numId w:val="0"/>
        </w:numPr>
        <w:tabs>
          <w:tab w:val="left" w:pos="0"/>
        </w:tabs>
        <w:suppressAutoHyphens/>
        <w:adjustRightInd w:val="0"/>
        <w:snapToGrid w:val="0"/>
        <w:spacing w:after="0" w:line="240" w:lineRule="auto"/>
        <w:jc w:val="both"/>
        <w:outlineLvl w:val="1"/>
        <w:rPr>
          <w:rFonts w:ascii="Times New Roman" w:hAnsi="Times New Roman" w:cs="Times New Roman"/>
          <w:b/>
          <w:bCs/>
          <w:iCs/>
          <w:snapToGrid w:val="0"/>
          <w:color w:val="000000" w:themeColor="text1"/>
          <w:kern w:val="0"/>
        </w:rPr>
      </w:pPr>
      <w:r w:rsidRPr="00212957">
        <w:rPr>
          <w:rFonts w:ascii="Times New Roman" w:hAnsi="Times New Roman" w:cs="Times New Roman"/>
          <w:b/>
          <w:bCs/>
          <w:iCs/>
          <w:snapToGrid w:val="0"/>
          <w:color w:val="000000" w:themeColor="text1"/>
          <w:kern w:val="0"/>
          <w:lang w:eastAsia="zh-CN"/>
        </w:rPr>
        <w:t>3.4 On-Chain/Off-Chain Integration and Oracle Workflow</w:t>
      </w:r>
    </w:p>
    <w:p w14:paraId="65D24453"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A crucial component of DAREA is its oracle integration mechanism, designed to securely bridge AI computations and blockchain state. The AI Valuation Layer runs off-chain to avoid gas-consumption bottlenecks, and its outputs are transmitted through a decentralized oracle network. Each valuation update is signed via a verifiable signature scheme:</w:t>
      </w:r>
    </w:p>
    <w:p w14:paraId="4E9413B8" w14:textId="77777777" w:rsidR="009B043D" w:rsidRPr="009B043D" w:rsidRDefault="009B043D" w:rsidP="00212957">
      <w:pPr>
        <w:suppressAutoHyphens/>
        <w:adjustRightInd w:val="0"/>
        <w:snapToGrid w:val="0"/>
        <w:spacing w:after="0" w:line="240" w:lineRule="auto"/>
        <w:ind w:firstLineChars="100" w:firstLine="240"/>
        <w:jc w:val="center"/>
        <w:rPr>
          <w:rFonts w:ascii="Times New Roman" w:hAnsi="Times New Roman" w:cs="Times New Roman"/>
          <w:snapToGrid w:val="0"/>
          <w:color w:val="000000" w:themeColor="text1"/>
          <w:kern w:val="0"/>
        </w:rPr>
      </w:pPr>
    </w:p>
    <w:p w14:paraId="21C56571" w14:textId="77777777" w:rsidR="009B043D" w:rsidRPr="00212957" w:rsidRDefault="009B043D" w:rsidP="009B043D">
      <w:pPr>
        <w:suppressAutoHyphens/>
        <w:adjustRightInd w:val="0"/>
        <w:snapToGrid w:val="0"/>
        <w:spacing w:after="0" w:line="240" w:lineRule="auto"/>
        <w:ind w:firstLineChars="100" w:firstLine="240"/>
        <w:jc w:val="both"/>
        <w:rPr>
          <w:rFonts w:ascii="Times New Roman" w:hAnsi="Times New Roman" w:cs="Times New Roman"/>
          <w:i/>
          <w:iCs/>
          <w:snapToGrid w:val="0"/>
          <w:color w:val="000000" w:themeColor="text1"/>
          <w:kern w:val="0"/>
        </w:rPr>
      </w:pPr>
      <m:oMathPara>
        <m:oMathParaPr>
          <m:jc m:val="center"/>
        </m:oMathParaPr>
        <m:oMath>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σ</m:t>
              </m:r>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m:t>
          </m:r>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Sign</m:t>
              </m:r>
            </m:e>
            <m:sub>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k</m:t>
                  </m:r>
                </m:e>
                <m:sub>
                  <m:r>
                    <w:rPr>
                      <w:rFonts w:ascii="Cambria Math" w:eastAsia="SimSun" w:hAnsi="Cambria Math" w:cs="Times New Roman"/>
                      <w:snapToGrid w:val="0"/>
                      <w:color w:val="000000" w:themeColor="text1"/>
                      <w:kern w:val="0"/>
                      <w:lang w:eastAsia="zh-CN"/>
                      <w14:ligatures w14:val="none"/>
                    </w:rPr>
                    <m:t>priv</m:t>
                  </m:r>
                </m:sub>
              </m:sSub>
            </m:sub>
          </m:sSub>
          <m:r>
            <w:rPr>
              <w:rFonts w:ascii="Cambria Math" w:eastAsia="SimSun" w:hAnsi="Cambria Math" w:cs="Times New Roman"/>
              <w:snapToGrid w:val="0"/>
              <w:color w:val="000000" w:themeColor="text1"/>
              <w:kern w:val="0"/>
              <w:lang w:eastAsia="zh-CN"/>
              <w14:ligatures w14:val="none"/>
            </w:rPr>
            <m:t>(</m:t>
          </m:r>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m:t>
          </m:r>
          <m:r>
            <w:rPr>
              <w:rFonts w:ascii="Cambria Math" w:hAnsi="Cambria Math" w:cs="Times New Roman"/>
              <w:snapToGrid w:val="0"/>
              <w:color w:val="000000" w:themeColor="text1"/>
              <w:kern w:val="0"/>
              <w:lang w:eastAsia="zh-CN"/>
              <w14:ligatures w14:val="none"/>
            </w:rPr>
            <m:t>,                                                (10</m:t>
          </m:r>
          <m:r>
            <w:rPr>
              <w:rFonts w:ascii="Cambria Math" w:hAnsi="Cambria Math" w:cs="Times New Roman"/>
              <w:snapToGrid w:val="0"/>
              <w:color w:val="000000" w:themeColor="text1"/>
              <w:kern w:val="0"/>
              <w:lang w:eastAsia="zh-CN"/>
              <w14:ligatures w14:val="none"/>
            </w:rPr>
            <m:t>)</m:t>
          </m:r>
        </m:oMath>
      </m:oMathPara>
    </w:p>
    <w:p w14:paraId="2CD17399"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 xml:space="preserve"> </w:t>
      </w:r>
    </w:p>
    <w:p w14:paraId="7A4C7C5C"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The blockchain verifies:</w:t>
      </w:r>
    </w:p>
    <w:p w14:paraId="634BD612"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6F606C18" w14:textId="77777777" w:rsidR="009B043D" w:rsidRPr="00212957" w:rsidRDefault="009B043D" w:rsidP="009B043D">
      <w:pPr>
        <w:suppressAutoHyphens/>
        <w:adjustRightInd w:val="0"/>
        <w:snapToGrid w:val="0"/>
        <w:spacing w:after="0" w:line="240" w:lineRule="auto"/>
        <w:ind w:firstLineChars="100" w:firstLine="240"/>
        <w:jc w:val="both"/>
        <w:rPr>
          <w:rFonts w:ascii="Times New Roman" w:hAnsi="Times New Roman" w:cs="Times New Roman"/>
          <w:i/>
          <w:iCs/>
          <w:snapToGrid w:val="0"/>
          <w:color w:val="000000" w:themeColor="text1"/>
          <w:kern w:val="0"/>
        </w:rPr>
      </w:pPr>
      <m:oMathPara>
        <m:oMathParaPr>
          <m:jc m:val="center"/>
        </m:oMathParaPr>
        <m:oMath>
          <m:r>
            <w:rPr>
              <w:rFonts w:ascii="Cambria Math" w:eastAsia="SimSun" w:hAnsi="Cambria Math" w:cs="Times New Roman"/>
              <w:snapToGrid w:val="0"/>
              <w:color w:val="000000" w:themeColor="text1"/>
              <w:kern w:val="0"/>
              <w:lang w:eastAsia="zh-CN"/>
              <w14:ligatures w14:val="none"/>
            </w:rPr>
            <m:t>Verif</m:t>
          </m:r>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y</m:t>
              </m:r>
            </m:e>
            <m:sub>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k</m:t>
                  </m:r>
                </m:e>
                <m:sub>
                  <m:r>
                    <w:rPr>
                      <w:rFonts w:ascii="Cambria Math" w:eastAsia="SimSun" w:hAnsi="Cambria Math" w:cs="Times New Roman"/>
                      <w:snapToGrid w:val="0"/>
                      <w:color w:val="000000" w:themeColor="text1"/>
                      <w:kern w:val="0"/>
                      <w:lang w:eastAsia="zh-CN"/>
                      <w14:ligatures w14:val="none"/>
                    </w:rPr>
                    <m:t>pub</m:t>
                  </m:r>
                </m:sub>
              </m:sSub>
            </m:sub>
          </m:sSub>
          <m:r>
            <w:rPr>
              <w:rFonts w:ascii="Cambria Math" w:eastAsia="SimSun" w:hAnsi="Cambria Math" w:cs="Times New Roman"/>
              <w:snapToGrid w:val="0"/>
              <w:color w:val="000000" w:themeColor="text1"/>
              <w:kern w:val="0"/>
              <w:lang w:eastAsia="zh-CN"/>
              <w14:ligatures w14:val="none"/>
            </w:rPr>
            <m:t>(</m:t>
          </m:r>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σ</m:t>
              </m:r>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m:t>
          </m:r>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)=True</m:t>
          </m:r>
          <m:r>
            <w:rPr>
              <w:rFonts w:ascii="Cambria Math" w:hAnsi="Cambria Math" w:cs="Times New Roman"/>
              <w:snapToGrid w:val="0"/>
              <w:color w:val="000000" w:themeColor="text1"/>
              <w:kern w:val="0"/>
              <w:lang w:eastAsia="zh-CN"/>
              <w14:ligatures w14:val="none"/>
            </w:rPr>
            <m:t>,                                       (11</m:t>
          </m:r>
          <m:r>
            <w:rPr>
              <w:rFonts w:ascii="Cambria Math" w:hAnsi="Cambria Math" w:cs="Times New Roman"/>
              <w:snapToGrid w:val="0"/>
              <w:color w:val="000000" w:themeColor="text1"/>
              <w:kern w:val="0"/>
              <w:lang w:eastAsia="zh-CN"/>
              <w14:ligatures w14:val="none"/>
            </w:rPr>
            <m:t>)</m:t>
          </m:r>
        </m:oMath>
      </m:oMathPara>
    </w:p>
    <w:p w14:paraId="611FC2B6"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 xml:space="preserve"> </w:t>
      </w:r>
    </w:p>
    <w:p w14:paraId="1A7DB2D6"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Upon verification, smart contracts accept the updated valuation and execute the corresponding token state transitions. This ensures that only authenticated AI outputs can affect on-chain asset states.</w:t>
      </w:r>
    </w:p>
    <w:p w14:paraId="634272BD"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The integration layer also includes a synchronization protocol that batches valuation updates to reduce oracle overhead. The batching mechanism is formalized as:</w:t>
      </w:r>
    </w:p>
    <w:p w14:paraId="0738A2F1"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22CFA8B5" w14:textId="77777777" w:rsidR="009B043D" w:rsidRPr="00212957" w:rsidRDefault="009B043D" w:rsidP="009B043D">
      <w:pPr>
        <w:suppressAutoHyphens/>
        <w:adjustRightInd w:val="0"/>
        <w:snapToGrid w:val="0"/>
        <w:spacing w:after="0" w:line="240" w:lineRule="auto"/>
        <w:ind w:firstLineChars="100" w:firstLine="240"/>
        <w:jc w:val="both"/>
        <w:rPr>
          <w:rFonts w:ascii="Times New Roman" w:hAnsi="Times New Roman" w:cs="Times New Roman"/>
          <w:i/>
          <w:iCs/>
          <w:snapToGrid w:val="0"/>
          <w:color w:val="000000" w:themeColor="text1"/>
          <w:kern w:val="0"/>
        </w:rPr>
      </w:pPr>
      <m:oMathPara>
        <m:oMathParaPr>
          <m:jc m:val="center"/>
        </m:oMathParaPr>
        <m:oMath>
          <m:sSub>
            <m:sSubPr>
              <m:ctrlPr>
                <w:rPr>
                  <w:rFonts w:ascii="Cambria Math" w:eastAsia="SimSun" w:hAnsi="Cambria Math" w:cs="Times New Roman"/>
                  <w:i/>
                  <w:iCs/>
                  <w:snapToGrid w:val="0"/>
                  <w:color w:val="000000" w:themeColor="text1"/>
                  <w:kern w:val="0"/>
                  <w:lang w:eastAsia="zh-CN"/>
                  <w14:ligatures w14:val="none"/>
                </w:rPr>
              </m:ctrlPr>
            </m:sSubPr>
            <m:e>
              <m:r>
                <w:rPr>
                  <w:rFonts w:ascii="Cambria Math" w:eastAsia="SimSun" w:hAnsi="Cambria Math" w:cs="Times New Roman"/>
                  <w:snapToGrid w:val="0"/>
                  <w:color w:val="000000" w:themeColor="text1"/>
                  <w:kern w:val="0"/>
                  <w:lang w:eastAsia="zh-CN"/>
                  <w14:ligatures w14:val="none"/>
                </w:rPr>
                <m:t>B</m:t>
              </m:r>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m:t>
          </m:r>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t-k</m:t>
              </m:r>
            </m:sub>
          </m:sSub>
          <m:r>
            <w:rPr>
              <w:rFonts w:ascii="Cambria Math" w:eastAsia="SimSun" w:hAnsi="Cambria Math" w:cs="Times New Roman"/>
              <w:snapToGrid w:val="0"/>
              <w:color w:val="000000" w:themeColor="text1"/>
              <w:kern w:val="0"/>
              <w:lang w:eastAsia="zh-CN"/>
              <w14:ligatures w14:val="none"/>
            </w:rPr>
            <m:t>,…,</m:t>
          </m:r>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m:t>
              </m:r>
            </m:sub>
          </m:sSub>
          <m:r>
            <w:rPr>
              <w:rFonts w:ascii="Cambria Math" w:eastAsia="SimSun" w:hAnsi="Cambria Math" w:cs="Times New Roman"/>
              <w:snapToGrid w:val="0"/>
              <w:color w:val="000000" w:themeColor="text1"/>
              <w:kern w:val="0"/>
              <w:lang w:eastAsia="zh-CN"/>
              <w14:ligatures w14:val="none"/>
            </w:rPr>
            <m:t>}</m:t>
          </m:r>
          <m:r>
            <w:rPr>
              <w:rFonts w:ascii="Cambria Math" w:hAnsi="Cambria Math" w:cs="Times New Roman"/>
              <w:snapToGrid w:val="0"/>
              <w:color w:val="000000" w:themeColor="text1"/>
              <w:kern w:val="0"/>
              <w:lang w:eastAsia="zh-CN"/>
              <w14:ligatures w14:val="none"/>
            </w:rPr>
            <m:t>,                                                  (12</m:t>
          </m:r>
          <m:r>
            <w:rPr>
              <w:rFonts w:ascii="Cambria Math" w:hAnsi="Cambria Math" w:cs="Times New Roman"/>
              <w:snapToGrid w:val="0"/>
              <w:color w:val="000000" w:themeColor="text1"/>
              <w:kern w:val="0"/>
              <w:lang w:eastAsia="zh-CN"/>
              <w14:ligatures w14:val="none"/>
            </w:rPr>
            <m:t>)</m:t>
          </m:r>
        </m:oMath>
      </m:oMathPara>
    </w:p>
    <w:p w14:paraId="1387E13A"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5ED82DC2"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and smart contracts apply an aggregated update:</w:t>
      </w:r>
    </w:p>
    <w:p w14:paraId="26605474"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5894ABF9" w14:textId="77777777" w:rsidR="009B043D" w:rsidRPr="00212957" w:rsidRDefault="009B043D" w:rsidP="009B043D">
      <w:pPr>
        <w:suppressAutoHyphens/>
        <w:adjustRightInd w:val="0"/>
        <w:snapToGrid w:val="0"/>
        <w:spacing w:after="0" w:line="240" w:lineRule="auto"/>
        <w:ind w:firstLineChars="100" w:firstLine="240"/>
        <w:jc w:val="both"/>
        <w:rPr>
          <w:rFonts w:ascii="Times New Roman" w:hAnsi="Times New Roman" w:cs="Times New Roman"/>
          <w:i/>
          <w:iCs/>
          <w:snapToGrid w:val="0"/>
          <w:color w:val="000000" w:themeColor="text1"/>
          <w:kern w:val="0"/>
        </w:rPr>
      </w:pPr>
      <m:oMathPara>
        <m:oMathParaPr>
          <m:jc m:val="center"/>
        </m:oMathParaPr>
        <m:oMath>
          <m:sSup>
            <m:sSupPr>
              <m:ctrlPr>
                <w:rPr>
                  <w:rFonts w:ascii="Cambria Math" w:eastAsia="SimSun" w:hAnsi="Cambria Math" w:cs="Times New Roman"/>
                  <w:iCs/>
                  <w:snapToGrid w:val="0"/>
                  <w:color w:val="000000" w:themeColor="text1"/>
                  <w:kern w:val="0"/>
                  <w:lang w:eastAsia="zh-CN"/>
                  <w14:ligatures w14:val="none"/>
                </w:rPr>
              </m:ctrlPr>
            </m:sSupPr>
            <m:e>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m:t>
                  </m:r>
                </m:sub>
              </m:sSub>
            </m:e>
            <m:sup>
              <m:r>
                <m:rPr>
                  <m:sty m:val="p"/>
                </m:rPr>
                <w:rPr>
                  <w:rFonts w:ascii="Cambria Math" w:hAnsi="Cambria Math" w:cs="Times New Roman"/>
                  <w:snapToGrid w:val="0"/>
                  <w:color w:val="000000" w:themeColor="text1"/>
                  <w:kern w:val="0"/>
                  <w:lang w:eastAsia="zh-CN"/>
                  <w14:ligatures w14:val="none"/>
                </w:rPr>
                <m:t>*</m:t>
              </m:r>
            </m:sup>
          </m:sSup>
          <m:r>
            <w:rPr>
              <w:rFonts w:ascii="Cambria Math" w:eastAsia="SimSun" w:hAnsi="Cambria Math" w:cs="Times New Roman"/>
              <w:snapToGrid w:val="0"/>
              <w:color w:val="000000" w:themeColor="text1"/>
              <w:kern w:val="0"/>
              <w:lang w:eastAsia="zh-CN"/>
              <w14:ligatures w14:val="none"/>
            </w:rPr>
            <m:t>=</m:t>
          </m:r>
          <m:f>
            <m:fPr>
              <m:ctrlPr>
                <w:rPr>
                  <w:rFonts w:ascii="Cambria Math" w:eastAsia="SimSun" w:hAnsi="Cambria Math" w:cs="Times New Roman"/>
                  <w:i/>
                  <w:iCs/>
                  <w:snapToGrid w:val="0"/>
                  <w:color w:val="000000" w:themeColor="text1"/>
                  <w:kern w:val="0"/>
                  <w:lang w:eastAsia="zh-CN"/>
                  <w14:ligatures w14:val="none"/>
                </w:rPr>
              </m:ctrlPr>
            </m:fPr>
            <m:num>
              <m:r>
                <w:rPr>
                  <w:rFonts w:ascii="Cambria Math" w:hAnsi="Cambria Math" w:cs="Times New Roman"/>
                  <w:snapToGrid w:val="0"/>
                  <w:color w:val="000000" w:themeColor="text1"/>
                  <w:kern w:val="0"/>
                  <w:lang w:eastAsia="zh-CN"/>
                  <w14:ligatures w14:val="none"/>
                </w:rPr>
                <m:t>1</m:t>
              </m:r>
            </m:num>
            <m:den>
              <m:r>
                <w:rPr>
                  <w:rFonts w:ascii="Cambria Math" w:hAnsi="Cambria Math" w:cs="Times New Roman"/>
                  <w:snapToGrid w:val="0"/>
                  <w:color w:val="000000" w:themeColor="text1"/>
                  <w:kern w:val="0"/>
                  <w:lang w:eastAsia="zh-CN"/>
                  <w14:ligatures w14:val="none"/>
                </w:rPr>
                <m:t>k+1</m:t>
              </m:r>
            </m:den>
          </m:f>
          <m:nary>
            <m:naryPr>
              <m:chr m:val="∑"/>
              <m:limLoc m:val="undOvr"/>
              <m:ctrlPr>
                <w:rPr>
                  <w:rFonts w:ascii="Cambria Math" w:eastAsia="SimSun" w:hAnsi="Cambria Math" w:cs="Times New Roman"/>
                  <w:i/>
                  <w:iCs/>
                  <w:snapToGrid w:val="0"/>
                  <w:color w:val="000000" w:themeColor="text1"/>
                  <w:kern w:val="0"/>
                  <w:lang w:eastAsia="zh-CN"/>
                  <w14:ligatures w14:val="none"/>
                </w:rPr>
              </m:ctrlPr>
            </m:naryPr>
            <m:sub>
              <m:r>
                <w:rPr>
                  <w:rFonts w:ascii="Cambria Math" w:hAnsi="Cambria Math" w:cs="Times New Roman"/>
                  <w:snapToGrid w:val="0"/>
                  <w:color w:val="000000" w:themeColor="text1"/>
                  <w:kern w:val="0"/>
                  <w:lang w:eastAsia="zh-CN"/>
                  <w14:ligatures w14:val="none"/>
                </w:rPr>
                <m:t>j=0</m:t>
              </m:r>
            </m:sub>
            <m:sup>
              <m:r>
                <w:rPr>
                  <w:rFonts w:ascii="Cambria Math" w:hAnsi="Cambria Math" w:cs="Times New Roman"/>
                  <w:snapToGrid w:val="0"/>
                  <w:color w:val="000000" w:themeColor="text1"/>
                  <w:kern w:val="0"/>
                  <w:lang w:eastAsia="zh-CN"/>
                  <w14:ligatures w14:val="none"/>
                </w:rPr>
                <m:t>k</m:t>
              </m:r>
            </m:sup>
            <m:e>
              <m:sSub>
                <m:sSubPr>
                  <m:ctrlPr>
                    <w:rPr>
                      <w:rFonts w:ascii="Cambria Math" w:eastAsia="SimSun" w:hAnsi="Cambria Math" w:cs="Times New Roman"/>
                      <w:i/>
                      <w:iCs/>
                      <w:snapToGrid w:val="0"/>
                      <w:color w:val="000000" w:themeColor="text1"/>
                      <w:kern w:val="0"/>
                      <w:lang w:eastAsia="zh-CN"/>
                      <w14:ligatures w14:val="none"/>
                    </w:rPr>
                  </m:ctrlPr>
                </m:sSubPr>
                <m:e>
                  <m:acc>
                    <m:accPr>
                      <m:ctrlPr>
                        <w:rPr>
                          <w:rFonts w:ascii="Cambria Math" w:eastAsia="SimSun" w:hAnsi="Cambria Math" w:cs="Times New Roman"/>
                          <w:i/>
                          <w:iCs/>
                          <w:snapToGrid w:val="0"/>
                          <w:color w:val="000000" w:themeColor="text1"/>
                          <w:kern w:val="0"/>
                          <w:lang w:eastAsia="zh-CN"/>
                          <w14:ligatures w14:val="none"/>
                        </w:rPr>
                      </m:ctrlPr>
                    </m:accPr>
                    <m:e>
                      <m:r>
                        <w:rPr>
                          <w:rFonts w:ascii="Cambria Math" w:eastAsia="SimSun" w:hAnsi="Cambria Math" w:cs="Times New Roman"/>
                          <w:snapToGrid w:val="0"/>
                          <w:color w:val="000000" w:themeColor="text1"/>
                          <w:kern w:val="0"/>
                          <w:lang w:eastAsia="zh-CN"/>
                          <w14:ligatures w14:val="none"/>
                        </w:rPr>
                        <m:t>V</m:t>
                      </m:r>
                    </m:e>
                  </m:acc>
                </m:e>
                <m:sub>
                  <m:r>
                    <w:rPr>
                      <w:rFonts w:ascii="Cambria Math" w:hAnsi="Cambria Math" w:cs="Times New Roman"/>
                      <w:snapToGrid w:val="0"/>
                      <w:color w:val="000000" w:themeColor="text1"/>
                      <w:kern w:val="0"/>
                      <w:lang w:eastAsia="zh-CN"/>
                      <w14:ligatures w14:val="none"/>
                    </w:rPr>
                    <m:t>t-j</m:t>
                  </m:r>
                </m:sub>
              </m:sSub>
            </m:e>
          </m:nary>
          <m:r>
            <w:rPr>
              <w:rFonts w:ascii="Cambria Math" w:hAnsi="Cambria Math" w:cs="Times New Roman"/>
              <w:snapToGrid w:val="0"/>
              <w:color w:val="000000" w:themeColor="text1"/>
              <w:kern w:val="0"/>
              <w:lang w:eastAsia="zh-CN"/>
              <w14:ligatures w14:val="none"/>
            </w:rPr>
            <m:t>,                                             (13</m:t>
          </m:r>
          <m:r>
            <w:rPr>
              <w:rFonts w:ascii="Cambria Math" w:hAnsi="Cambria Math" w:cs="Times New Roman"/>
              <w:snapToGrid w:val="0"/>
              <w:color w:val="000000" w:themeColor="text1"/>
              <w:kern w:val="0"/>
              <w:lang w:eastAsia="zh-CN"/>
              <w14:ligatures w14:val="none"/>
            </w:rPr>
            <m:t>)</m:t>
          </m:r>
        </m:oMath>
      </m:oMathPara>
    </w:p>
    <w:p w14:paraId="5A965462"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54302724"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This reduces volatility, improves gas efficiency, and ensures more stable token supply adjustments.</w:t>
      </w:r>
    </w:p>
    <w:p w14:paraId="565A6D5D"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lastRenderedPageBreak/>
        <w:t>Together, these mechanisms allow DAREA to maintain continuous alignment between off-chain AI valuation and on-chain asset representation, ensuring transparency, security, and dynamic responsiveness in real estate tokenization.</w:t>
      </w:r>
    </w:p>
    <w:p w14:paraId="66226818" w14:textId="6764F22B" w:rsidR="009B043D" w:rsidRPr="009B043D" w:rsidRDefault="00212957" w:rsidP="00212957">
      <w:pPr>
        <w:keepNext/>
        <w:keepLines/>
        <w:widowControl w:val="0"/>
        <w:tabs>
          <w:tab w:val="left" w:pos="0"/>
        </w:tabs>
        <w:suppressAutoHyphens/>
        <w:adjustRightInd w:val="0"/>
        <w:snapToGrid w:val="0"/>
        <w:spacing w:after="0" w:line="240" w:lineRule="auto"/>
        <w:jc w:val="both"/>
        <w:outlineLvl w:val="0"/>
        <w:rPr>
          <w:rFonts w:ascii="Times New Roman" w:hAnsi="Times New Roman" w:cs="Times New Roman"/>
          <w:b/>
          <w:snapToGrid w:val="0"/>
          <w:color w:val="000000" w:themeColor="text1"/>
        </w:rPr>
      </w:pPr>
      <w:r>
        <w:rPr>
          <w:rFonts w:ascii="Times New Roman" w:hAnsi="Times New Roman" w:cs="Times New Roman"/>
          <w:b/>
          <w:snapToGrid w:val="0"/>
          <w:color w:val="000000" w:themeColor="text1"/>
          <w:lang w:eastAsia="zh-CN"/>
        </w:rPr>
        <w:t>4.</w:t>
      </w:r>
      <w:r w:rsidR="009B043D" w:rsidRPr="009B043D">
        <w:rPr>
          <w:rFonts w:ascii="Times New Roman" w:hAnsi="Times New Roman" w:cs="Times New Roman"/>
          <w:b/>
          <w:snapToGrid w:val="0"/>
          <w:color w:val="000000" w:themeColor="text1"/>
          <w:lang w:eastAsia="zh-CN"/>
        </w:rPr>
        <w:t>Experiment</w:t>
      </w:r>
    </w:p>
    <w:p w14:paraId="51003C5B" w14:textId="77777777" w:rsidR="009B043D" w:rsidRPr="00212957" w:rsidRDefault="009B043D" w:rsidP="009B043D">
      <w:pPr>
        <w:keepNext/>
        <w:keepLines/>
        <w:numPr>
          <w:ilvl w:val="1"/>
          <w:numId w:val="0"/>
        </w:numPr>
        <w:tabs>
          <w:tab w:val="left" w:pos="0"/>
        </w:tabs>
        <w:suppressAutoHyphens/>
        <w:adjustRightInd w:val="0"/>
        <w:snapToGrid w:val="0"/>
        <w:spacing w:after="0" w:line="240" w:lineRule="auto"/>
        <w:jc w:val="both"/>
        <w:outlineLvl w:val="1"/>
        <w:rPr>
          <w:rFonts w:ascii="Times New Roman" w:hAnsi="Times New Roman" w:cs="Times New Roman"/>
          <w:b/>
          <w:bCs/>
          <w:iCs/>
          <w:snapToGrid w:val="0"/>
          <w:color w:val="000000" w:themeColor="text1"/>
          <w:kern w:val="0"/>
        </w:rPr>
      </w:pPr>
      <w:r w:rsidRPr="00212957">
        <w:rPr>
          <w:rFonts w:ascii="Times New Roman" w:hAnsi="Times New Roman" w:cs="Times New Roman"/>
          <w:b/>
          <w:bCs/>
          <w:iCs/>
          <w:snapToGrid w:val="0"/>
          <w:color w:val="000000" w:themeColor="text1"/>
          <w:kern w:val="0"/>
          <w:lang w:eastAsia="zh-CN"/>
        </w:rPr>
        <w:t xml:space="preserve">4.1 </w:t>
      </w:r>
      <w:r w:rsidRPr="00212957">
        <w:rPr>
          <w:rFonts w:ascii="Times New Roman" w:hAnsi="Times New Roman" w:cs="Times New Roman"/>
          <w:b/>
          <w:bCs/>
          <w:iCs/>
          <w:snapToGrid w:val="0"/>
          <w:color w:val="000000" w:themeColor="text1"/>
          <w:kern w:val="0"/>
        </w:rPr>
        <w:t>Dataset Preparation</w:t>
      </w:r>
    </w:p>
    <w:p w14:paraId="5FF29D42" w14:textId="6B1E307F"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The dataset used in this study is constructed from a combination of publicly available real estate market databases, governmental open data portals, and commercial property analytics platforms. Historical transaction records are obtained from municipal real estate registries and national property information systems, which provide verified sale prices, transaction dates, building ages, floor areas, and ownership structures. Complementing these records, neighborhood-level spatial features are collected from geographic information system (GIS) sources, such as OpenStreetMap and regional urban planning authorities, enabling the extraction of road network accessibility, proximity to public transportation, land-use distribution, and points of interest. These spatial layers are encoded as graph structures to support the model’s spatiotemporal learning components.</w:t>
      </w:r>
      <w:r w:rsidR="00212957">
        <w:rPr>
          <w:rFonts w:ascii="Times New Roman" w:hAnsi="Times New Roman" w:cs="Times New Roman"/>
          <w:snapToGrid w:val="0"/>
          <w:color w:val="000000" w:themeColor="text1"/>
          <w:kern w:val="0"/>
        </w:rPr>
        <w:t xml:space="preserve"> </w:t>
      </w:r>
      <w:r w:rsidRPr="009B043D">
        <w:rPr>
          <w:rFonts w:ascii="Times New Roman" w:eastAsia="SimSun" w:hAnsi="Times New Roman" w:cs="Times New Roman"/>
          <w:snapToGrid w:val="0"/>
          <w:color w:val="000000" w:themeColor="text1"/>
          <w:kern w:val="0"/>
          <w14:ligatures w14:val="none"/>
        </w:rPr>
        <w:t>Macroeconomic indicators—including interest rates, inflation data, rental index trends, and regional income statistics—are aggregated from central bank publications and statistical bureaus. These variables capture broader market dynamics influencing real estate valuation. Additionally, satellite-derived geospatial features, such as nighttime light intensity and vegetation indices, are integrated to approximate neighborhood development levels and environmental quality. Each property instance in the dataset typically contains 40–60 features covering structural attributes, socioeconomic context, and temporal market signals.</w:t>
      </w:r>
      <w:r w:rsidR="00212957">
        <w:rPr>
          <w:rFonts w:ascii="Times New Roman" w:hAnsi="Times New Roman" w:cs="Times New Roman"/>
          <w:snapToGrid w:val="0"/>
          <w:color w:val="000000" w:themeColor="text1"/>
          <w:kern w:val="0"/>
        </w:rPr>
        <w:t xml:space="preserve"> </w:t>
      </w:r>
      <w:r w:rsidRPr="009B043D">
        <w:rPr>
          <w:rFonts w:ascii="Times New Roman" w:eastAsia="SimSun" w:hAnsi="Times New Roman" w:cs="Times New Roman"/>
          <w:snapToGrid w:val="0"/>
          <w:color w:val="000000" w:themeColor="text1"/>
          <w:kern w:val="0"/>
          <w14:ligatures w14:val="none"/>
        </w:rPr>
        <w:t>The final dataset comprises approximately 120,000 property transactions spanning a ten-year period, with quarterly updates that allow temporal modeling of price evolution. Missing values are addressed through multivariate imputation, and all numerical fields are normalized for training stability. This multi-source, multi-scale dataset enables the DAREA framework to model both micro-level property attributes and macro-level market fluctuations, supporting accurate, dynamic valuation suitable for blockchain-based tokenization.</w:t>
      </w:r>
    </w:p>
    <w:p w14:paraId="7987D74C" w14:textId="77777777" w:rsidR="009B043D" w:rsidRPr="00212957" w:rsidRDefault="009B043D" w:rsidP="009B043D">
      <w:pPr>
        <w:keepNext/>
        <w:keepLines/>
        <w:numPr>
          <w:ilvl w:val="1"/>
          <w:numId w:val="0"/>
        </w:numPr>
        <w:tabs>
          <w:tab w:val="left" w:pos="0"/>
        </w:tabs>
        <w:suppressAutoHyphens/>
        <w:adjustRightInd w:val="0"/>
        <w:snapToGrid w:val="0"/>
        <w:spacing w:after="0" w:line="240" w:lineRule="auto"/>
        <w:jc w:val="both"/>
        <w:outlineLvl w:val="1"/>
        <w:rPr>
          <w:rFonts w:ascii="Times New Roman" w:hAnsi="Times New Roman" w:cs="Times New Roman"/>
          <w:b/>
          <w:bCs/>
          <w:iCs/>
          <w:snapToGrid w:val="0"/>
          <w:color w:val="000000" w:themeColor="text1"/>
          <w:kern w:val="0"/>
        </w:rPr>
      </w:pPr>
      <w:r w:rsidRPr="00212957">
        <w:rPr>
          <w:rFonts w:ascii="Times New Roman" w:hAnsi="Times New Roman" w:cs="Times New Roman"/>
          <w:b/>
          <w:bCs/>
          <w:iCs/>
          <w:snapToGrid w:val="0"/>
          <w:color w:val="000000" w:themeColor="text1"/>
          <w:kern w:val="0"/>
          <w:lang w:eastAsia="zh-CN"/>
        </w:rPr>
        <w:t>4.2 Experimental Setup</w:t>
      </w:r>
    </w:p>
    <w:p w14:paraId="6B5B7525"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14:ligatures w14:val="none"/>
        </w:rPr>
        <w:t>The experiments are conducted using the real estate dataset described earlier, covering ten years of historical sales records, spatial GIS features, and macroeconomic indicators. All models are trained on 70% of the data, validated on 10%, and tested on the remaining 20%. The DAREA spatiotemporal valuation model is implemented using PyTorch, with GRU layers for temporal encoding and GCN modules for spatial inference. Baseline models include XGBoost, Random Forest, an LSTM regressor, and a Transformer-based price forecaster. The blockchain simulation environment is constructed on an Ethereum Layer-2 testnet, where token minting, valuation updates, and rebase operations are executed using Solidity smart contracts. Oracle communication is emulated via a hybrid push–pull mechanism that periodically injects valuation outputs into smart contracts. All experiments are run on an NVIDIA A100 GPU server for AI training and a local blockchain node for on-chain execution, ensuring a realistic evaluation of both the valuation and tokenization workflows.</w:t>
      </w:r>
    </w:p>
    <w:p w14:paraId="2EA9F412" w14:textId="77777777" w:rsidR="009B043D" w:rsidRPr="00212957" w:rsidRDefault="009B043D" w:rsidP="009B043D">
      <w:pPr>
        <w:keepNext/>
        <w:keepLines/>
        <w:numPr>
          <w:ilvl w:val="1"/>
          <w:numId w:val="0"/>
        </w:numPr>
        <w:tabs>
          <w:tab w:val="left" w:pos="0"/>
        </w:tabs>
        <w:suppressAutoHyphens/>
        <w:adjustRightInd w:val="0"/>
        <w:snapToGrid w:val="0"/>
        <w:spacing w:after="0" w:line="240" w:lineRule="auto"/>
        <w:jc w:val="both"/>
        <w:outlineLvl w:val="1"/>
        <w:rPr>
          <w:rFonts w:ascii="Times New Roman" w:hAnsi="Times New Roman" w:cs="Times New Roman"/>
          <w:b/>
          <w:bCs/>
          <w:iCs/>
          <w:snapToGrid w:val="0"/>
          <w:color w:val="000000" w:themeColor="text1"/>
          <w:kern w:val="0"/>
        </w:rPr>
      </w:pPr>
      <w:r w:rsidRPr="00212957">
        <w:rPr>
          <w:rFonts w:ascii="Times New Roman" w:hAnsi="Times New Roman" w:cs="Times New Roman"/>
          <w:b/>
          <w:bCs/>
          <w:iCs/>
          <w:snapToGrid w:val="0"/>
          <w:color w:val="000000" w:themeColor="text1"/>
          <w:kern w:val="0"/>
          <w:lang w:eastAsia="zh-CN"/>
        </w:rPr>
        <w:t>4.3 Evaluation Metrics</w:t>
      </w:r>
    </w:p>
    <w:p w14:paraId="4905121B"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 xml:space="preserve">To assess valuation performance, we adopt standard regression metrics—including Mean Absolute Error (MAE), Root Mean Squared Error (RMSE), and Mean Absolute Percentage Error (MAPE)—to capture absolute accuracy, penalize large deviations, and evaluate robustness across property types. Token-level performance is measured using the Token Price Stability Index (TPSI), defined as the standard deviation of on-chain token prices relative to external market reference </w:t>
      </w:r>
      <w:r w:rsidRPr="009B043D">
        <w:rPr>
          <w:rFonts w:ascii="Times New Roman" w:eastAsia="SimSun" w:hAnsi="Times New Roman" w:cs="Times New Roman"/>
          <w:snapToGrid w:val="0"/>
          <w:color w:val="000000" w:themeColor="text1"/>
          <w:kern w:val="0"/>
          <w:lang w:eastAsia="zh-CN"/>
          <w14:ligatures w14:val="none"/>
        </w:rPr>
        <w:lastRenderedPageBreak/>
        <w:t>values after each valuation update cycle. We additionally compute Update Efficiency (UE), defined as the proportion of valuation updates that result in effective on-chain state transitions without triggering unnecessary rebasing. These metrics collectively measure not only the predictive precision of the underlying AI model but also the effectiveness of the smart-contract logic in maintaining price stability, smooth transitions, and consistent market responses.</w:t>
      </w:r>
    </w:p>
    <w:p w14:paraId="62947F28" w14:textId="77777777" w:rsidR="009B043D" w:rsidRPr="00212957" w:rsidRDefault="009B043D" w:rsidP="009B043D">
      <w:pPr>
        <w:keepNext/>
        <w:keepLines/>
        <w:numPr>
          <w:ilvl w:val="1"/>
          <w:numId w:val="0"/>
        </w:numPr>
        <w:tabs>
          <w:tab w:val="left" w:pos="0"/>
        </w:tabs>
        <w:suppressAutoHyphens/>
        <w:adjustRightInd w:val="0"/>
        <w:snapToGrid w:val="0"/>
        <w:spacing w:after="0" w:line="240" w:lineRule="auto"/>
        <w:jc w:val="both"/>
        <w:outlineLvl w:val="1"/>
        <w:rPr>
          <w:rFonts w:ascii="Times New Roman" w:hAnsi="Times New Roman" w:cs="Times New Roman"/>
          <w:b/>
          <w:bCs/>
          <w:iCs/>
          <w:snapToGrid w:val="0"/>
          <w:color w:val="000000" w:themeColor="text1"/>
          <w:kern w:val="0"/>
        </w:rPr>
      </w:pPr>
      <w:r w:rsidRPr="00212957">
        <w:rPr>
          <w:rFonts w:ascii="Times New Roman" w:hAnsi="Times New Roman" w:cs="Times New Roman"/>
          <w:b/>
          <w:bCs/>
          <w:iCs/>
          <w:snapToGrid w:val="0"/>
          <w:color w:val="000000" w:themeColor="text1"/>
          <w:kern w:val="0"/>
          <w:lang w:eastAsia="zh-CN"/>
        </w:rPr>
        <w:t>4.3 Results</w:t>
      </w:r>
    </w:p>
    <w:p w14:paraId="75DF0A34"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The results in Table 1 demonstrate that the proposed DAREA valuation model significantly outperforms all baseline methods across MAE, RMSE, and MAPE. Traditional machine learning algorithms such as Random Forest and XGBoost benefit from structured feature inputs but lack the ability to fully capture temporal shifts and complex spatial interactions in property markets, resulting in comparatively higher error metrics. LSTM and Transformer-based models improve temporal learning, yet they still underperform relative to DAREA due to their inability to jointly encode spatial relationships and macroeconomic indicators. In contrast, DAREA integrates a GRU-based temporal encoder with a GCN spatial module, enabling it to model neighborhood effects, market cycles, and cross-regional dependencies with higher fidelity. This spatiotemporal fusion leads to substantial gains—particularly a 16% RMSE reduction compared to the Transformer model—highlighting DAREA’s superior ability to track property value evolution and generate more stable valuation estimates for blockchain tokenization.</w:t>
      </w:r>
    </w:p>
    <w:p w14:paraId="08976395"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32D3F3D1" w14:textId="77777777" w:rsidR="009B043D" w:rsidRPr="00212957" w:rsidRDefault="009B043D" w:rsidP="00212957">
      <w:pPr>
        <w:spacing w:after="0" w:line="240" w:lineRule="auto"/>
        <w:ind w:firstLine="442"/>
        <w:jc w:val="center"/>
        <w:rPr>
          <w:rFonts w:cstheme="minorHAnsi"/>
          <w:color w:val="000000" w:themeColor="text1"/>
          <w:sz w:val="20"/>
          <w:szCs w:val="20"/>
        </w:rPr>
      </w:pPr>
      <w:r w:rsidRPr="00212957">
        <w:rPr>
          <w:rFonts w:cstheme="minorHAnsi"/>
          <w:b/>
          <w:bCs/>
          <w:color w:val="000000" w:themeColor="text1"/>
          <w:sz w:val="20"/>
          <w:szCs w:val="20"/>
        </w:rPr>
        <w:t>Table</w:t>
      </w:r>
      <w:r w:rsidRPr="00212957">
        <w:rPr>
          <w:rFonts w:cstheme="minorHAnsi"/>
          <w:b/>
          <w:bCs/>
          <w:color w:val="000000" w:themeColor="text1"/>
          <w:sz w:val="20"/>
          <w:szCs w:val="20"/>
          <w:lang w:eastAsia="zh-CN"/>
        </w:rPr>
        <w:t xml:space="preserve"> </w:t>
      </w:r>
      <w:r w:rsidRPr="00212957">
        <w:rPr>
          <w:rFonts w:cstheme="minorHAnsi"/>
          <w:b/>
          <w:bCs/>
          <w:color w:val="000000" w:themeColor="text1"/>
          <w:sz w:val="20"/>
          <w:szCs w:val="20"/>
        </w:rPr>
        <w:t xml:space="preserve">1. </w:t>
      </w:r>
      <w:r w:rsidRPr="00212957">
        <w:rPr>
          <w:rFonts w:cstheme="minorHAnsi"/>
          <w:color w:val="000000" w:themeColor="text1"/>
          <w:sz w:val="20"/>
          <w:szCs w:val="20"/>
          <w:lang w:eastAsia="zh-CN"/>
        </w:rPr>
        <w:t>Valuation Accuracy Across Models</w:t>
      </w:r>
    </w:p>
    <w:tbl>
      <w:tblPr>
        <w:tblStyle w:val="TableGrid"/>
        <w:tblW w:w="4514" w:type="pct"/>
        <w:jc w:val="center"/>
        <w:tblLook w:val="04A0" w:firstRow="1" w:lastRow="0" w:firstColumn="1" w:lastColumn="0" w:noHBand="0" w:noVBand="1"/>
      </w:tblPr>
      <w:tblGrid>
        <w:gridCol w:w="2244"/>
        <w:gridCol w:w="2257"/>
        <w:gridCol w:w="1968"/>
        <w:gridCol w:w="1972"/>
      </w:tblGrid>
      <w:tr w:rsidR="009B043D" w:rsidRPr="009B043D" w14:paraId="496CDBF9" w14:textId="77777777" w:rsidTr="00212957">
        <w:trPr>
          <w:trHeight w:val="702"/>
          <w:jc w:val="center"/>
        </w:trPr>
        <w:tc>
          <w:tcPr>
            <w:tcW w:w="1328" w:type="pct"/>
            <w:vAlign w:val="center"/>
          </w:tcPr>
          <w:p w14:paraId="083D649B" w14:textId="77777777" w:rsidR="009B043D" w:rsidRPr="00212957" w:rsidRDefault="009B043D" w:rsidP="009B043D">
            <w:pPr>
              <w:suppressAutoHyphens/>
              <w:adjustRightInd w:val="0"/>
              <w:snapToGrid w:val="0"/>
              <w:jc w:val="both"/>
              <w:rPr>
                <w:rFonts w:eastAsia="Times New Roman"/>
                <w:b/>
                <w:bCs/>
                <w:snapToGrid w:val="0"/>
                <w:color w:val="000000" w:themeColor="text1"/>
                <w:sz w:val="24"/>
                <w:szCs w:val="24"/>
              </w:rPr>
            </w:pPr>
            <w:r w:rsidRPr="00212957">
              <w:rPr>
                <w:rFonts w:eastAsia="Times New Roman"/>
                <w:b/>
                <w:bCs/>
                <w:snapToGrid w:val="0"/>
                <w:color w:val="000000" w:themeColor="text1"/>
                <w:sz w:val="24"/>
                <w:szCs w:val="24"/>
                <w:lang w:eastAsia="zh-CN"/>
              </w:rPr>
              <w:t>Model</w:t>
            </w:r>
          </w:p>
        </w:tc>
        <w:tc>
          <w:tcPr>
            <w:tcW w:w="1336" w:type="pct"/>
            <w:vAlign w:val="center"/>
          </w:tcPr>
          <w:p w14:paraId="36495352" w14:textId="77777777" w:rsidR="009B043D" w:rsidRPr="00212957" w:rsidRDefault="009B043D" w:rsidP="009B043D">
            <w:pPr>
              <w:suppressAutoHyphens/>
              <w:adjustRightInd w:val="0"/>
              <w:snapToGrid w:val="0"/>
              <w:jc w:val="both"/>
              <w:rPr>
                <w:rFonts w:eastAsia="Times New Roman"/>
                <w:b/>
                <w:bCs/>
                <w:snapToGrid w:val="0"/>
                <w:color w:val="000000" w:themeColor="text1"/>
                <w:sz w:val="24"/>
                <w:szCs w:val="24"/>
              </w:rPr>
            </w:pPr>
            <w:r w:rsidRPr="00212957">
              <w:rPr>
                <w:rFonts w:eastAsia="Times New Roman"/>
                <w:b/>
                <w:bCs/>
                <w:snapToGrid w:val="0"/>
                <w:color w:val="000000" w:themeColor="text1"/>
                <w:sz w:val="24"/>
                <w:szCs w:val="24"/>
                <w:lang w:eastAsia="zh-CN"/>
              </w:rPr>
              <w:t>MAE</w:t>
            </w:r>
          </w:p>
        </w:tc>
        <w:tc>
          <w:tcPr>
            <w:tcW w:w="1166" w:type="pct"/>
            <w:vAlign w:val="center"/>
          </w:tcPr>
          <w:p w14:paraId="360E2F6E" w14:textId="77777777" w:rsidR="009B043D" w:rsidRPr="00212957" w:rsidRDefault="009B043D" w:rsidP="009B043D">
            <w:pPr>
              <w:suppressAutoHyphens/>
              <w:adjustRightInd w:val="0"/>
              <w:snapToGrid w:val="0"/>
              <w:jc w:val="both"/>
              <w:rPr>
                <w:rFonts w:eastAsia="Times New Roman"/>
                <w:b/>
                <w:bCs/>
                <w:snapToGrid w:val="0"/>
                <w:color w:val="000000" w:themeColor="text1"/>
                <w:sz w:val="24"/>
                <w:szCs w:val="24"/>
              </w:rPr>
            </w:pPr>
            <w:r w:rsidRPr="00212957">
              <w:rPr>
                <w:rFonts w:eastAsia="Times New Roman"/>
                <w:b/>
                <w:bCs/>
                <w:snapToGrid w:val="0"/>
                <w:color w:val="000000" w:themeColor="text1"/>
                <w:sz w:val="24"/>
                <w:szCs w:val="24"/>
                <w:lang w:eastAsia="zh-CN"/>
              </w:rPr>
              <w:t>RMSE</w:t>
            </w:r>
          </w:p>
        </w:tc>
        <w:tc>
          <w:tcPr>
            <w:tcW w:w="1168" w:type="pct"/>
            <w:vAlign w:val="center"/>
          </w:tcPr>
          <w:p w14:paraId="593E631B" w14:textId="77777777" w:rsidR="009B043D" w:rsidRPr="00212957" w:rsidRDefault="009B043D" w:rsidP="009B043D">
            <w:pPr>
              <w:suppressAutoHyphens/>
              <w:adjustRightInd w:val="0"/>
              <w:snapToGrid w:val="0"/>
              <w:jc w:val="both"/>
              <w:rPr>
                <w:rFonts w:eastAsia="Times New Roman"/>
                <w:b/>
                <w:bCs/>
                <w:snapToGrid w:val="0"/>
                <w:color w:val="000000" w:themeColor="text1"/>
                <w:sz w:val="24"/>
                <w:szCs w:val="24"/>
              </w:rPr>
            </w:pPr>
            <w:r w:rsidRPr="00212957">
              <w:rPr>
                <w:rFonts w:eastAsia="Times New Roman"/>
                <w:b/>
                <w:bCs/>
                <w:snapToGrid w:val="0"/>
                <w:color w:val="000000" w:themeColor="text1"/>
                <w:sz w:val="24"/>
                <w:szCs w:val="24"/>
                <w:lang w:eastAsia="zh-CN"/>
              </w:rPr>
              <w:t>MAPE (%)</w:t>
            </w:r>
          </w:p>
        </w:tc>
      </w:tr>
      <w:tr w:rsidR="009B043D" w:rsidRPr="009B043D" w14:paraId="5C69C886" w14:textId="77777777" w:rsidTr="00212957">
        <w:trPr>
          <w:trHeight w:val="730"/>
          <w:jc w:val="center"/>
        </w:trPr>
        <w:tc>
          <w:tcPr>
            <w:tcW w:w="1328" w:type="pct"/>
            <w:vAlign w:val="center"/>
          </w:tcPr>
          <w:p w14:paraId="703FBF23"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Random Forest</w:t>
            </w:r>
          </w:p>
        </w:tc>
        <w:tc>
          <w:tcPr>
            <w:tcW w:w="1336" w:type="pct"/>
            <w:vAlign w:val="center"/>
          </w:tcPr>
          <w:p w14:paraId="5894A031"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31,420</w:t>
            </w:r>
          </w:p>
        </w:tc>
        <w:tc>
          <w:tcPr>
            <w:tcW w:w="1166" w:type="pct"/>
            <w:vAlign w:val="center"/>
          </w:tcPr>
          <w:p w14:paraId="58D26904"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52,803</w:t>
            </w:r>
          </w:p>
        </w:tc>
        <w:tc>
          <w:tcPr>
            <w:tcW w:w="1168" w:type="pct"/>
            <w:vAlign w:val="center"/>
          </w:tcPr>
          <w:p w14:paraId="1B13A9E7"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9.84</w:t>
            </w:r>
          </w:p>
        </w:tc>
      </w:tr>
      <w:tr w:rsidR="009B043D" w:rsidRPr="009B043D" w14:paraId="1B7D3BDF" w14:textId="77777777" w:rsidTr="00212957">
        <w:trPr>
          <w:trHeight w:val="494"/>
          <w:jc w:val="center"/>
        </w:trPr>
        <w:tc>
          <w:tcPr>
            <w:tcW w:w="1328" w:type="pct"/>
            <w:vAlign w:val="center"/>
          </w:tcPr>
          <w:p w14:paraId="613EB311"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XGBoost</w:t>
            </w:r>
          </w:p>
        </w:tc>
        <w:tc>
          <w:tcPr>
            <w:tcW w:w="1336" w:type="pct"/>
            <w:vAlign w:val="center"/>
          </w:tcPr>
          <w:p w14:paraId="3D686CB7"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27,105</w:t>
            </w:r>
          </w:p>
        </w:tc>
        <w:tc>
          <w:tcPr>
            <w:tcW w:w="1166" w:type="pct"/>
            <w:vAlign w:val="center"/>
          </w:tcPr>
          <w:p w14:paraId="6A1F84A4"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46,990</w:t>
            </w:r>
          </w:p>
        </w:tc>
        <w:tc>
          <w:tcPr>
            <w:tcW w:w="1168" w:type="pct"/>
            <w:vAlign w:val="center"/>
          </w:tcPr>
          <w:p w14:paraId="56307173"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8.20</w:t>
            </w:r>
          </w:p>
        </w:tc>
      </w:tr>
      <w:tr w:rsidR="009B043D" w:rsidRPr="009B043D" w14:paraId="29A31CC0" w14:textId="77777777" w:rsidTr="00212957">
        <w:trPr>
          <w:trHeight w:val="495"/>
          <w:jc w:val="center"/>
        </w:trPr>
        <w:tc>
          <w:tcPr>
            <w:tcW w:w="1328" w:type="pct"/>
            <w:vAlign w:val="center"/>
          </w:tcPr>
          <w:p w14:paraId="2E6E8D7D"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LSTM</w:t>
            </w:r>
          </w:p>
        </w:tc>
        <w:tc>
          <w:tcPr>
            <w:tcW w:w="1336" w:type="pct"/>
            <w:vAlign w:val="center"/>
          </w:tcPr>
          <w:p w14:paraId="6236C615"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25,884</w:t>
            </w:r>
          </w:p>
        </w:tc>
        <w:tc>
          <w:tcPr>
            <w:tcW w:w="1166" w:type="pct"/>
            <w:vAlign w:val="center"/>
          </w:tcPr>
          <w:p w14:paraId="6A59ED04"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44,572</w:t>
            </w:r>
          </w:p>
        </w:tc>
        <w:tc>
          <w:tcPr>
            <w:tcW w:w="1168" w:type="pct"/>
            <w:vAlign w:val="center"/>
          </w:tcPr>
          <w:p w14:paraId="16E6A70B"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7.93</w:t>
            </w:r>
          </w:p>
        </w:tc>
      </w:tr>
      <w:tr w:rsidR="009B043D" w:rsidRPr="009B043D" w14:paraId="73810C99" w14:textId="77777777" w:rsidTr="00212957">
        <w:trPr>
          <w:trHeight w:val="421"/>
          <w:jc w:val="center"/>
        </w:trPr>
        <w:tc>
          <w:tcPr>
            <w:tcW w:w="1328" w:type="pct"/>
            <w:vAlign w:val="center"/>
          </w:tcPr>
          <w:p w14:paraId="7192BDB9"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Transformer</w:t>
            </w:r>
          </w:p>
        </w:tc>
        <w:tc>
          <w:tcPr>
            <w:tcW w:w="1336" w:type="pct"/>
            <w:vAlign w:val="center"/>
          </w:tcPr>
          <w:p w14:paraId="25856974"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24,112</w:t>
            </w:r>
          </w:p>
        </w:tc>
        <w:tc>
          <w:tcPr>
            <w:tcW w:w="1166" w:type="pct"/>
            <w:vAlign w:val="center"/>
          </w:tcPr>
          <w:p w14:paraId="0A2B5BBD"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42,110</w:t>
            </w:r>
          </w:p>
        </w:tc>
        <w:tc>
          <w:tcPr>
            <w:tcW w:w="1168" w:type="pct"/>
            <w:vAlign w:val="center"/>
          </w:tcPr>
          <w:p w14:paraId="3C6B17E9"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7.10</w:t>
            </w:r>
          </w:p>
        </w:tc>
      </w:tr>
      <w:tr w:rsidR="009B043D" w:rsidRPr="009B043D" w14:paraId="433BEEDC" w14:textId="77777777" w:rsidTr="00212957">
        <w:trPr>
          <w:trHeight w:val="408"/>
          <w:jc w:val="center"/>
        </w:trPr>
        <w:tc>
          <w:tcPr>
            <w:tcW w:w="1328" w:type="pct"/>
            <w:vAlign w:val="center"/>
          </w:tcPr>
          <w:p w14:paraId="38CD4A4F" w14:textId="77777777" w:rsidR="009B043D" w:rsidRPr="009B043D" w:rsidRDefault="009B043D" w:rsidP="009B043D">
            <w:pPr>
              <w:suppressAutoHyphens/>
              <w:adjustRightInd w:val="0"/>
              <w:snapToGrid w:val="0"/>
              <w:jc w:val="both"/>
              <w:rPr>
                <w:rFonts w:eastAsia="Times New Roman"/>
                <w:b/>
                <w:bCs/>
                <w:snapToGrid w:val="0"/>
                <w:color w:val="000000" w:themeColor="text1"/>
                <w:sz w:val="24"/>
                <w:szCs w:val="24"/>
              </w:rPr>
            </w:pPr>
            <w:r w:rsidRPr="009B043D">
              <w:rPr>
                <w:rFonts w:eastAsia="Times New Roman"/>
                <w:b/>
                <w:bCs/>
                <w:snapToGrid w:val="0"/>
                <w:color w:val="000000" w:themeColor="text1"/>
                <w:sz w:val="24"/>
                <w:szCs w:val="24"/>
                <w:lang w:eastAsia="zh-CN"/>
              </w:rPr>
              <w:t>DAREA (Proposed)</w:t>
            </w:r>
          </w:p>
        </w:tc>
        <w:tc>
          <w:tcPr>
            <w:tcW w:w="1336" w:type="pct"/>
            <w:vAlign w:val="center"/>
          </w:tcPr>
          <w:p w14:paraId="36A894F0" w14:textId="77777777" w:rsidR="009B043D" w:rsidRPr="009B043D" w:rsidRDefault="009B043D" w:rsidP="009B043D">
            <w:pPr>
              <w:suppressAutoHyphens/>
              <w:adjustRightInd w:val="0"/>
              <w:snapToGrid w:val="0"/>
              <w:jc w:val="both"/>
              <w:rPr>
                <w:rFonts w:eastAsia="Times New Roman"/>
                <w:b/>
                <w:bCs/>
                <w:snapToGrid w:val="0"/>
                <w:color w:val="000000" w:themeColor="text1"/>
                <w:sz w:val="24"/>
                <w:szCs w:val="24"/>
              </w:rPr>
            </w:pPr>
            <w:r w:rsidRPr="009B043D">
              <w:rPr>
                <w:rFonts w:eastAsia="Times New Roman"/>
                <w:b/>
                <w:bCs/>
                <w:snapToGrid w:val="0"/>
                <w:color w:val="000000" w:themeColor="text1"/>
                <w:sz w:val="24"/>
                <w:szCs w:val="24"/>
                <w:lang w:eastAsia="zh-CN"/>
              </w:rPr>
              <w:t>20,554</w:t>
            </w:r>
          </w:p>
        </w:tc>
        <w:tc>
          <w:tcPr>
            <w:tcW w:w="1166" w:type="pct"/>
            <w:vAlign w:val="center"/>
          </w:tcPr>
          <w:p w14:paraId="7C6685AA" w14:textId="77777777" w:rsidR="009B043D" w:rsidRPr="009B043D" w:rsidRDefault="009B043D" w:rsidP="009B043D">
            <w:pPr>
              <w:suppressAutoHyphens/>
              <w:adjustRightInd w:val="0"/>
              <w:snapToGrid w:val="0"/>
              <w:jc w:val="both"/>
              <w:rPr>
                <w:rFonts w:eastAsia="Times New Roman"/>
                <w:b/>
                <w:bCs/>
                <w:snapToGrid w:val="0"/>
                <w:color w:val="000000" w:themeColor="text1"/>
                <w:sz w:val="24"/>
                <w:szCs w:val="24"/>
              </w:rPr>
            </w:pPr>
            <w:r w:rsidRPr="009B043D">
              <w:rPr>
                <w:rFonts w:eastAsia="Times New Roman"/>
                <w:b/>
                <w:bCs/>
                <w:snapToGrid w:val="0"/>
                <w:color w:val="000000" w:themeColor="text1"/>
                <w:sz w:val="24"/>
                <w:szCs w:val="24"/>
                <w:lang w:eastAsia="zh-CN"/>
              </w:rPr>
              <w:t>36,981</w:t>
            </w:r>
          </w:p>
        </w:tc>
        <w:tc>
          <w:tcPr>
            <w:tcW w:w="1168" w:type="pct"/>
            <w:vAlign w:val="center"/>
          </w:tcPr>
          <w:p w14:paraId="0422B9BB"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b/>
                <w:bCs/>
                <w:snapToGrid w:val="0"/>
                <w:color w:val="000000" w:themeColor="text1"/>
                <w:sz w:val="24"/>
                <w:szCs w:val="24"/>
                <w:lang w:eastAsia="zh-CN"/>
              </w:rPr>
              <w:t>5.94</w:t>
            </w:r>
          </w:p>
        </w:tc>
      </w:tr>
    </w:tbl>
    <w:p w14:paraId="6D47430A" w14:textId="77777777" w:rsidR="009B043D" w:rsidRPr="009B043D" w:rsidRDefault="009B043D" w:rsidP="009B043D">
      <w:pPr>
        <w:suppressAutoHyphens/>
        <w:adjustRightInd w:val="0"/>
        <w:snapToGrid w:val="0"/>
        <w:spacing w:after="0" w:line="240" w:lineRule="auto"/>
        <w:ind w:firstLineChars="100" w:firstLine="240"/>
        <w:jc w:val="both"/>
        <w:rPr>
          <w:rFonts w:ascii="Times New Roman" w:hAnsi="Times New Roman" w:cs="Times New Roman"/>
          <w:snapToGrid w:val="0"/>
          <w:color w:val="000000" w:themeColor="text1"/>
          <w:kern w:val="0"/>
        </w:rPr>
      </w:pPr>
    </w:p>
    <w:p w14:paraId="61E3BDA8"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Table 2 shows that DAREA achieves the highest token price stability (lowest TPSI) and the most efficient valuation-to-blockchain update cycle among all evaluated methods. Models such as XGBoost, which produce noisier valuation trajectories, cause frequent rebase events to realign token supply with asset value, leading to inefficiencies and investor-visible instability. LSTM and Transformer models reduce volatility but still exhibit irregular fluctuations due to limited spatial awareness and insufficient macroeconomic context. Conversely, DAREA</w:t>
      </w:r>
      <w:r w:rsidRPr="009B043D">
        <w:rPr>
          <w:rFonts w:ascii="Times New Roman" w:hAnsi="Times New Roman" w:cs="Times New Roman"/>
          <w:snapToGrid w:val="0"/>
          <w:color w:val="000000" w:themeColor="text1"/>
          <w:kern w:val="0"/>
          <w:lang w:eastAsia="zh-CN"/>
          <w14:ligatures w14:val="none"/>
        </w:rPr>
        <w:t>’</w:t>
      </w:r>
      <w:r w:rsidRPr="009B043D">
        <w:rPr>
          <w:rFonts w:ascii="Times New Roman" w:eastAsia="SimSun" w:hAnsi="Times New Roman" w:cs="Times New Roman"/>
          <w:snapToGrid w:val="0"/>
          <w:color w:val="000000" w:themeColor="text1"/>
          <w:kern w:val="0"/>
          <w:lang w:eastAsia="zh-CN"/>
          <w14:ligatures w14:val="none"/>
        </w:rPr>
        <w:t>s joint spatiotemporal modeling yields smoother, more coherent valuation paths, resulting in fewer required rebases and a significantly higher Update Efficiency (0.89). This improvement directly translates to more predictable token behavior, reduced on-chain gas consumption, and enhanced user trust. The large stability margin between DAREA and Transformer-Based Oracle (+29% improvement in TPSI) underscores the system</w:t>
      </w:r>
      <w:r w:rsidRPr="009B043D">
        <w:rPr>
          <w:rFonts w:ascii="Times New Roman" w:hAnsi="Times New Roman" w:cs="Times New Roman"/>
          <w:snapToGrid w:val="0"/>
          <w:color w:val="000000" w:themeColor="text1"/>
          <w:kern w:val="0"/>
          <w:lang w:eastAsia="zh-CN"/>
          <w14:ligatures w14:val="none"/>
        </w:rPr>
        <w:t>’</w:t>
      </w:r>
      <w:r w:rsidRPr="009B043D">
        <w:rPr>
          <w:rFonts w:ascii="Times New Roman" w:eastAsia="SimSun" w:hAnsi="Times New Roman" w:cs="Times New Roman"/>
          <w:snapToGrid w:val="0"/>
          <w:color w:val="000000" w:themeColor="text1"/>
          <w:kern w:val="0"/>
          <w:lang w:eastAsia="zh-CN"/>
          <w14:ligatures w14:val="none"/>
        </w:rPr>
        <w:t>s ability to preserve valuation integrity within decentralized market environments.</w:t>
      </w:r>
    </w:p>
    <w:p w14:paraId="78EFCCF0" w14:textId="77777777" w:rsidR="009B043D" w:rsidRPr="009B043D" w:rsidRDefault="009B043D" w:rsidP="009B043D">
      <w:pPr>
        <w:suppressAutoHyphens/>
        <w:adjustRightInd w:val="0"/>
        <w:snapToGrid w:val="0"/>
        <w:spacing w:after="0" w:line="240" w:lineRule="auto"/>
        <w:jc w:val="both"/>
        <w:rPr>
          <w:rFonts w:ascii="Times New Roman" w:hAnsi="Times New Roman" w:cs="Times New Roman"/>
          <w:snapToGrid w:val="0"/>
          <w:color w:val="000000" w:themeColor="text1"/>
          <w:kern w:val="0"/>
        </w:rPr>
      </w:pPr>
    </w:p>
    <w:p w14:paraId="047C80C1" w14:textId="77777777" w:rsidR="00212957" w:rsidRDefault="00212957">
      <w:pPr>
        <w:rPr>
          <w:rFonts w:cstheme="minorHAnsi"/>
          <w:b/>
          <w:bCs/>
          <w:color w:val="000000" w:themeColor="text1"/>
          <w:sz w:val="20"/>
          <w:szCs w:val="20"/>
        </w:rPr>
      </w:pPr>
      <w:r>
        <w:rPr>
          <w:rFonts w:cstheme="minorHAnsi"/>
          <w:b/>
          <w:bCs/>
          <w:color w:val="000000" w:themeColor="text1"/>
          <w:sz w:val="20"/>
          <w:szCs w:val="20"/>
        </w:rPr>
        <w:br w:type="page"/>
      </w:r>
    </w:p>
    <w:p w14:paraId="22961D82" w14:textId="2D28777B" w:rsidR="009B043D" w:rsidRPr="00212957" w:rsidRDefault="009B043D" w:rsidP="00212957">
      <w:pPr>
        <w:spacing w:after="0" w:line="240" w:lineRule="auto"/>
        <w:ind w:firstLine="442"/>
        <w:jc w:val="center"/>
        <w:rPr>
          <w:rFonts w:cstheme="minorHAnsi"/>
          <w:color w:val="000000" w:themeColor="text1"/>
          <w:sz w:val="20"/>
          <w:szCs w:val="20"/>
        </w:rPr>
      </w:pPr>
      <w:r w:rsidRPr="00212957">
        <w:rPr>
          <w:rFonts w:cstheme="minorHAnsi"/>
          <w:b/>
          <w:bCs/>
          <w:color w:val="000000" w:themeColor="text1"/>
          <w:sz w:val="20"/>
          <w:szCs w:val="20"/>
        </w:rPr>
        <w:lastRenderedPageBreak/>
        <w:t>Table</w:t>
      </w:r>
      <w:r w:rsidRPr="00212957">
        <w:rPr>
          <w:rFonts w:cstheme="minorHAnsi"/>
          <w:b/>
          <w:bCs/>
          <w:color w:val="000000" w:themeColor="text1"/>
          <w:sz w:val="20"/>
          <w:szCs w:val="20"/>
          <w:lang w:eastAsia="zh-CN"/>
        </w:rPr>
        <w:t xml:space="preserve"> 2</w:t>
      </w:r>
      <w:r w:rsidRPr="00212957">
        <w:rPr>
          <w:rFonts w:cstheme="minorHAnsi"/>
          <w:b/>
          <w:bCs/>
          <w:color w:val="000000" w:themeColor="text1"/>
          <w:sz w:val="20"/>
          <w:szCs w:val="20"/>
        </w:rPr>
        <w:t xml:space="preserve">. </w:t>
      </w:r>
      <w:r w:rsidRPr="00212957">
        <w:rPr>
          <w:rFonts w:cstheme="minorHAnsi"/>
          <w:color w:val="000000" w:themeColor="text1"/>
          <w:sz w:val="20"/>
          <w:szCs w:val="20"/>
          <w:lang w:eastAsia="zh-CN"/>
        </w:rPr>
        <w:t>Token Price Stability Under On-Chain Valuation Updates</w:t>
      </w:r>
    </w:p>
    <w:tbl>
      <w:tblPr>
        <w:tblStyle w:val="TableGrid"/>
        <w:tblW w:w="4514" w:type="pct"/>
        <w:jc w:val="center"/>
        <w:tblLook w:val="04A0" w:firstRow="1" w:lastRow="0" w:firstColumn="1" w:lastColumn="0" w:noHBand="0" w:noVBand="1"/>
      </w:tblPr>
      <w:tblGrid>
        <w:gridCol w:w="2244"/>
        <w:gridCol w:w="2257"/>
        <w:gridCol w:w="1968"/>
        <w:gridCol w:w="1972"/>
      </w:tblGrid>
      <w:tr w:rsidR="009B043D" w:rsidRPr="009B043D" w14:paraId="423D2379" w14:textId="77777777" w:rsidTr="00212957">
        <w:trPr>
          <w:trHeight w:val="702"/>
          <w:jc w:val="center"/>
        </w:trPr>
        <w:tc>
          <w:tcPr>
            <w:tcW w:w="1328" w:type="pct"/>
            <w:vAlign w:val="center"/>
          </w:tcPr>
          <w:p w14:paraId="73F6C3B0" w14:textId="77777777" w:rsidR="009B043D" w:rsidRPr="00212957" w:rsidRDefault="009B043D" w:rsidP="009B043D">
            <w:pPr>
              <w:suppressAutoHyphens/>
              <w:adjustRightInd w:val="0"/>
              <w:snapToGrid w:val="0"/>
              <w:jc w:val="both"/>
              <w:rPr>
                <w:rFonts w:eastAsia="Times New Roman"/>
                <w:b/>
                <w:bCs/>
                <w:snapToGrid w:val="0"/>
                <w:color w:val="000000" w:themeColor="text1"/>
                <w:sz w:val="24"/>
                <w:szCs w:val="24"/>
              </w:rPr>
            </w:pPr>
            <w:r w:rsidRPr="00212957">
              <w:rPr>
                <w:rFonts w:eastAsia="Times New Roman"/>
                <w:b/>
                <w:bCs/>
                <w:snapToGrid w:val="0"/>
                <w:color w:val="000000" w:themeColor="text1"/>
                <w:sz w:val="24"/>
                <w:szCs w:val="24"/>
                <w:lang w:eastAsia="zh-CN"/>
              </w:rPr>
              <w:t>Model</w:t>
            </w:r>
          </w:p>
        </w:tc>
        <w:tc>
          <w:tcPr>
            <w:tcW w:w="1336" w:type="pct"/>
            <w:vAlign w:val="center"/>
          </w:tcPr>
          <w:p w14:paraId="5CBE315E" w14:textId="177E7122" w:rsidR="009B043D" w:rsidRPr="00212957" w:rsidRDefault="009B043D" w:rsidP="009B043D">
            <w:pPr>
              <w:suppressAutoHyphens/>
              <w:adjustRightInd w:val="0"/>
              <w:snapToGrid w:val="0"/>
              <w:jc w:val="both"/>
              <w:rPr>
                <w:b/>
                <w:bCs/>
                <w:snapToGrid w:val="0"/>
                <w:color w:val="000000" w:themeColor="text1"/>
                <w:sz w:val="24"/>
                <w:szCs w:val="24"/>
              </w:rPr>
            </w:pPr>
            <w:r w:rsidRPr="00212957">
              <w:rPr>
                <w:rFonts w:eastAsia="Times New Roman"/>
                <w:b/>
                <w:bCs/>
                <w:snapToGrid w:val="0"/>
                <w:color w:val="000000" w:themeColor="text1"/>
                <w:sz w:val="24"/>
                <w:szCs w:val="24"/>
                <w:lang w:eastAsia="zh-CN"/>
              </w:rPr>
              <w:t>TPSI (</w:t>
            </w:r>
            <m:oMath>
              <m:r>
                <m:rPr>
                  <m:sty m:val="bi"/>
                </m:rPr>
                <w:rPr>
                  <w:rFonts w:ascii="Cambria Math" w:hAnsi="Cambria Math"/>
                  <w:snapToGrid w:val="0"/>
                  <w:color w:val="000000" w:themeColor="text1"/>
                  <w:sz w:val="24"/>
                  <w:szCs w:val="24"/>
                </w:rPr>
                <m:t>±</m:t>
              </m:r>
            </m:oMath>
            <w:r w:rsidRPr="00212957">
              <w:rPr>
                <w:rFonts w:eastAsia="Times New Roman"/>
                <w:b/>
                <w:bCs/>
                <w:snapToGrid w:val="0"/>
                <w:color w:val="000000" w:themeColor="text1"/>
                <w:sz w:val="24"/>
                <w:szCs w:val="24"/>
                <w:lang w:eastAsia="zh-CN"/>
              </w:rPr>
              <w:t>)</w:t>
            </w:r>
          </w:p>
        </w:tc>
        <w:tc>
          <w:tcPr>
            <w:tcW w:w="1166" w:type="pct"/>
            <w:vAlign w:val="center"/>
          </w:tcPr>
          <w:p w14:paraId="0778DBDD" w14:textId="77777777" w:rsidR="009B043D" w:rsidRPr="00212957" w:rsidRDefault="009B043D" w:rsidP="009B043D">
            <w:pPr>
              <w:suppressAutoHyphens/>
              <w:adjustRightInd w:val="0"/>
              <w:snapToGrid w:val="0"/>
              <w:jc w:val="both"/>
              <w:rPr>
                <w:rFonts w:eastAsia="Times New Roman"/>
                <w:b/>
                <w:bCs/>
                <w:snapToGrid w:val="0"/>
                <w:color w:val="000000" w:themeColor="text1"/>
                <w:sz w:val="24"/>
                <w:szCs w:val="24"/>
              </w:rPr>
            </w:pPr>
            <w:r w:rsidRPr="00212957">
              <w:rPr>
                <w:rFonts w:eastAsia="Times New Roman"/>
                <w:b/>
                <w:bCs/>
                <w:snapToGrid w:val="0"/>
                <w:color w:val="000000" w:themeColor="text1"/>
                <w:sz w:val="24"/>
                <w:szCs w:val="24"/>
                <w:lang w:eastAsia="zh-CN"/>
              </w:rPr>
              <w:t>Update Efficiency</w:t>
            </w:r>
          </w:p>
        </w:tc>
        <w:tc>
          <w:tcPr>
            <w:tcW w:w="1168" w:type="pct"/>
            <w:vAlign w:val="center"/>
          </w:tcPr>
          <w:p w14:paraId="4297524D" w14:textId="77777777" w:rsidR="009B043D" w:rsidRPr="00212957" w:rsidRDefault="009B043D" w:rsidP="009B043D">
            <w:pPr>
              <w:suppressAutoHyphens/>
              <w:adjustRightInd w:val="0"/>
              <w:snapToGrid w:val="0"/>
              <w:jc w:val="both"/>
              <w:rPr>
                <w:rFonts w:eastAsia="Times New Roman"/>
                <w:b/>
                <w:bCs/>
                <w:snapToGrid w:val="0"/>
                <w:color w:val="000000" w:themeColor="text1"/>
                <w:sz w:val="24"/>
                <w:szCs w:val="24"/>
              </w:rPr>
            </w:pPr>
            <w:r w:rsidRPr="00212957">
              <w:rPr>
                <w:rFonts w:eastAsia="Times New Roman"/>
                <w:b/>
                <w:bCs/>
                <w:snapToGrid w:val="0"/>
                <w:color w:val="000000" w:themeColor="text1"/>
                <w:sz w:val="24"/>
                <w:szCs w:val="24"/>
                <w:lang w:eastAsia="zh-CN"/>
              </w:rPr>
              <w:t>Rebase Frequency</w:t>
            </w:r>
          </w:p>
        </w:tc>
      </w:tr>
      <w:tr w:rsidR="009B043D" w:rsidRPr="009B043D" w14:paraId="09E40D7B" w14:textId="77777777" w:rsidTr="00212957">
        <w:trPr>
          <w:trHeight w:val="730"/>
          <w:jc w:val="center"/>
        </w:trPr>
        <w:tc>
          <w:tcPr>
            <w:tcW w:w="1328" w:type="pct"/>
            <w:vAlign w:val="center"/>
          </w:tcPr>
          <w:p w14:paraId="3E86A815"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XGBoost + Oracle</w:t>
            </w:r>
          </w:p>
        </w:tc>
        <w:tc>
          <w:tcPr>
            <w:tcW w:w="1336" w:type="pct"/>
            <w:vAlign w:val="center"/>
          </w:tcPr>
          <w:p w14:paraId="4EEB0046"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0.129</w:t>
            </w:r>
          </w:p>
        </w:tc>
        <w:tc>
          <w:tcPr>
            <w:tcW w:w="1166" w:type="pct"/>
            <w:vAlign w:val="center"/>
          </w:tcPr>
          <w:p w14:paraId="287664AF"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0.71</w:t>
            </w:r>
          </w:p>
        </w:tc>
        <w:tc>
          <w:tcPr>
            <w:tcW w:w="1168" w:type="pct"/>
            <w:vAlign w:val="center"/>
          </w:tcPr>
          <w:p w14:paraId="61014C96"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14</w:t>
            </w:r>
          </w:p>
        </w:tc>
      </w:tr>
      <w:tr w:rsidR="009B043D" w:rsidRPr="009B043D" w14:paraId="5C0C6A2C" w14:textId="77777777" w:rsidTr="00212957">
        <w:trPr>
          <w:trHeight w:val="494"/>
          <w:jc w:val="center"/>
        </w:trPr>
        <w:tc>
          <w:tcPr>
            <w:tcW w:w="1328" w:type="pct"/>
            <w:vAlign w:val="center"/>
          </w:tcPr>
          <w:p w14:paraId="0CE5EC3F"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LSTM + Oracle</w:t>
            </w:r>
          </w:p>
        </w:tc>
        <w:tc>
          <w:tcPr>
            <w:tcW w:w="1336" w:type="pct"/>
            <w:vAlign w:val="center"/>
          </w:tcPr>
          <w:p w14:paraId="6BA4E814"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0.102</w:t>
            </w:r>
          </w:p>
        </w:tc>
        <w:tc>
          <w:tcPr>
            <w:tcW w:w="1166" w:type="pct"/>
            <w:vAlign w:val="center"/>
          </w:tcPr>
          <w:p w14:paraId="30683423"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0.75</w:t>
            </w:r>
          </w:p>
        </w:tc>
        <w:tc>
          <w:tcPr>
            <w:tcW w:w="1168" w:type="pct"/>
            <w:vAlign w:val="center"/>
          </w:tcPr>
          <w:p w14:paraId="28A4F9B5"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11</w:t>
            </w:r>
          </w:p>
        </w:tc>
      </w:tr>
      <w:tr w:rsidR="009B043D" w:rsidRPr="009B043D" w14:paraId="49D48C3E" w14:textId="77777777" w:rsidTr="00212957">
        <w:trPr>
          <w:trHeight w:val="495"/>
          <w:jc w:val="center"/>
        </w:trPr>
        <w:tc>
          <w:tcPr>
            <w:tcW w:w="1328" w:type="pct"/>
            <w:vAlign w:val="center"/>
          </w:tcPr>
          <w:p w14:paraId="6351F685"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Transformer + Oracle</w:t>
            </w:r>
          </w:p>
        </w:tc>
        <w:tc>
          <w:tcPr>
            <w:tcW w:w="1336" w:type="pct"/>
            <w:vAlign w:val="center"/>
          </w:tcPr>
          <w:p w14:paraId="5A6B32AB"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0.094</w:t>
            </w:r>
          </w:p>
        </w:tc>
        <w:tc>
          <w:tcPr>
            <w:tcW w:w="1166" w:type="pct"/>
            <w:vAlign w:val="center"/>
          </w:tcPr>
          <w:p w14:paraId="5D83A89B"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0.81</w:t>
            </w:r>
          </w:p>
        </w:tc>
        <w:tc>
          <w:tcPr>
            <w:tcW w:w="1168" w:type="pct"/>
            <w:vAlign w:val="center"/>
          </w:tcPr>
          <w:p w14:paraId="1EE81E06"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8</w:t>
            </w:r>
          </w:p>
        </w:tc>
      </w:tr>
      <w:tr w:rsidR="009B043D" w:rsidRPr="009B043D" w14:paraId="2267D5B6" w14:textId="77777777" w:rsidTr="00212957">
        <w:trPr>
          <w:trHeight w:val="421"/>
          <w:jc w:val="center"/>
        </w:trPr>
        <w:tc>
          <w:tcPr>
            <w:tcW w:w="1328" w:type="pct"/>
            <w:vAlign w:val="center"/>
          </w:tcPr>
          <w:p w14:paraId="7A150BF9"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DAREA (Proposed)</w:t>
            </w:r>
          </w:p>
        </w:tc>
        <w:tc>
          <w:tcPr>
            <w:tcW w:w="1336" w:type="pct"/>
            <w:vAlign w:val="center"/>
          </w:tcPr>
          <w:p w14:paraId="14794D6A"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0.067</w:t>
            </w:r>
          </w:p>
        </w:tc>
        <w:tc>
          <w:tcPr>
            <w:tcW w:w="1166" w:type="pct"/>
            <w:vAlign w:val="center"/>
          </w:tcPr>
          <w:p w14:paraId="0C9B9C06"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0.89</w:t>
            </w:r>
          </w:p>
        </w:tc>
        <w:tc>
          <w:tcPr>
            <w:tcW w:w="1168" w:type="pct"/>
            <w:vAlign w:val="center"/>
          </w:tcPr>
          <w:p w14:paraId="48BD54B7" w14:textId="77777777" w:rsidR="009B043D" w:rsidRPr="009B043D" w:rsidRDefault="009B043D" w:rsidP="009B043D">
            <w:pPr>
              <w:suppressAutoHyphens/>
              <w:adjustRightInd w:val="0"/>
              <w:snapToGrid w:val="0"/>
              <w:jc w:val="both"/>
              <w:rPr>
                <w:rFonts w:eastAsia="Times New Roman"/>
                <w:snapToGrid w:val="0"/>
                <w:color w:val="000000" w:themeColor="text1"/>
                <w:sz w:val="24"/>
                <w:szCs w:val="24"/>
              </w:rPr>
            </w:pPr>
            <w:r w:rsidRPr="009B043D">
              <w:rPr>
                <w:rFonts w:eastAsia="Times New Roman"/>
                <w:snapToGrid w:val="0"/>
                <w:color w:val="000000" w:themeColor="text1"/>
                <w:sz w:val="24"/>
                <w:szCs w:val="24"/>
                <w:lang w:eastAsia="zh-CN"/>
              </w:rPr>
              <w:t>4</w:t>
            </w:r>
          </w:p>
        </w:tc>
      </w:tr>
    </w:tbl>
    <w:p w14:paraId="047E69CF" w14:textId="77777777" w:rsidR="009B043D" w:rsidRPr="009B043D" w:rsidRDefault="009B043D" w:rsidP="009B043D">
      <w:pPr>
        <w:suppressAutoHyphens/>
        <w:adjustRightInd w:val="0"/>
        <w:snapToGrid w:val="0"/>
        <w:spacing w:after="0" w:line="240" w:lineRule="auto"/>
        <w:jc w:val="both"/>
        <w:rPr>
          <w:rFonts w:ascii="Times New Roman" w:hAnsi="Times New Roman" w:cs="Times New Roman"/>
          <w:snapToGrid w:val="0"/>
          <w:color w:val="000000" w:themeColor="text1"/>
          <w:kern w:val="0"/>
        </w:rPr>
      </w:pPr>
    </w:p>
    <w:p w14:paraId="00ADD0A4" w14:textId="77777777" w:rsidR="009B043D" w:rsidRPr="00212957" w:rsidRDefault="009B043D" w:rsidP="009B043D">
      <w:pPr>
        <w:keepNext/>
        <w:keepLines/>
        <w:numPr>
          <w:ilvl w:val="1"/>
          <w:numId w:val="0"/>
        </w:numPr>
        <w:tabs>
          <w:tab w:val="left" w:pos="0"/>
        </w:tabs>
        <w:suppressAutoHyphens/>
        <w:adjustRightInd w:val="0"/>
        <w:snapToGrid w:val="0"/>
        <w:spacing w:after="0" w:line="240" w:lineRule="auto"/>
        <w:jc w:val="both"/>
        <w:outlineLvl w:val="1"/>
        <w:rPr>
          <w:rFonts w:ascii="Times New Roman" w:hAnsi="Times New Roman" w:cs="Times New Roman"/>
          <w:b/>
          <w:bCs/>
          <w:iCs/>
          <w:snapToGrid w:val="0"/>
          <w:color w:val="000000" w:themeColor="text1"/>
          <w:kern w:val="0"/>
        </w:rPr>
      </w:pPr>
      <w:r w:rsidRPr="00212957">
        <w:rPr>
          <w:rFonts w:ascii="Times New Roman" w:hAnsi="Times New Roman" w:cs="Times New Roman"/>
          <w:b/>
          <w:bCs/>
          <w:iCs/>
          <w:snapToGrid w:val="0"/>
          <w:color w:val="000000" w:themeColor="text1"/>
          <w:kern w:val="0"/>
          <w:lang w:eastAsia="zh-CN"/>
        </w:rPr>
        <w:t>4.4 Discussion</w:t>
      </w:r>
    </w:p>
    <w:p w14:paraId="0C3759BC" w14:textId="481CC1E8"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The experimental results highlight the advantages of integrating spatial context, temporal dynamics, and macroeconomic signals within a unified valuation architecture. DAREA consistently delivers superior performance in both off-chain valuation accuracy and on-chain token stability, demonstrating the effectiveness of its spatiotemporal deep-learning design and controlled oracle integration. The reduction in rebase frequency suggests that DAREA</w:t>
      </w:r>
      <w:r w:rsidRPr="009B043D">
        <w:rPr>
          <w:rFonts w:ascii="Times New Roman" w:hAnsi="Times New Roman" w:cs="Times New Roman"/>
          <w:snapToGrid w:val="0"/>
          <w:color w:val="000000" w:themeColor="text1"/>
          <w:kern w:val="0"/>
          <w:lang w:eastAsia="zh-CN"/>
          <w14:ligatures w14:val="none"/>
        </w:rPr>
        <w:t>’</w:t>
      </w:r>
      <w:r w:rsidRPr="009B043D">
        <w:rPr>
          <w:rFonts w:ascii="Times New Roman" w:eastAsia="SimSun" w:hAnsi="Times New Roman" w:cs="Times New Roman"/>
          <w:snapToGrid w:val="0"/>
          <w:color w:val="000000" w:themeColor="text1"/>
          <w:kern w:val="0"/>
          <w:lang w:eastAsia="zh-CN"/>
          <w14:ligatures w14:val="none"/>
        </w:rPr>
        <w:t>s smoother valuation outputs not only enhance user experience but also lower operational overhead for decentralized applications. Moreover, the blockchain simulation confirms that valuation models with high temporal coherence are more compatible with tokenized markets, where excessive volatility can undermine liquidity and investor confidence.</w:t>
      </w:r>
      <w:r w:rsidRPr="009B043D">
        <w:rPr>
          <w:rFonts w:ascii="Times New Roman" w:hAnsi="Times New Roman" w:cs="Times New Roman"/>
          <w:snapToGrid w:val="0"/>
          <w:color w:val="000000" w:themeColor="text1"/>
          <w:kern w:val="0"/>
          <w:lang w:eastAsia="zh-CN"/>
          <w14:ligatures w14:val="none"/>
        </w:rPr>
        <w:t xml:space="preserve"> Inspired by recent advancements in explainable risk assessment for real estate collateralized products [17], our findings also imply that providing interpretability for these AI-driven valuation adjustments could further mitigate panic selling and increase investor trust in tokenized RWAs.</w:t>
      </w:r>
      <w:r w:rsidRPr="009B043D">
        <w:rPr>
          <w:rFonts w:ascii="Times New Roman" w:eastAsia="SimSun" w:hAnsi="Times New Roman" w:cs="Times New Roman"/>
          <w:snapToGrid w:val="0"/>
          <w:color w:val="000000" w:themeColor="text1"/>
          <w:kern w:val="0"/>
          <w:lang w:eastAsia="zh-CN"/>
          <w14:ligatures w14:val="none"/>
        </w:rPr>
        <w:t xml:space="preserve"> While the current setup focuses on residential real estate markets, the framework can be extended to commercial assets, rental-income forecasting, and multi-asset RWA portfolios. Future work will explore integrating zero-knowledge proofs for valuation verification, as well as deploying DAREA in real-world pilot platforms for regulatory-compliant asset tokenization.</w:t>
      </w:r>
    </w:p>
    <w:p w14:paraId="427A4033" w14:textId="6A793CC2" w:rsidR="009B043D" w:rsidRPr="009B043D" w:rsidRDefault="00212957" w:rsidP="00212957">
      <w:pPr>
        <w:pStyle w:val="Heading1"/>
        <w:suppressAutoHyphens/>
        <w:adjustRightInd w:val="0"/>
        <w:snapToGrid w:val="0"/>
        <w:spacing w:before="0" w:after="0" w:line="240" w:lineRule="auto"/>
        <w:jc w:val="both"/>
        <w:rPr>
          <w:rFonts w:ascii="Times New Roman" w:eastAsia="SimSun" w:hAnsi="Times New Roman" w:cs="Times New Roman"/>
          <w:b/>
          <w:snapToGrid w:val="0"/>
          <w:color w:val="000000" w:themeColor="text1"/>
          <w:sz w:val="24"/>
          <w:szCs w:val="24"/>
        </w:rPr>
      </w:pPr>
      <w:r>
        <w:rPr>
          <w:rFonts w:ascii="Times New Roman" w:eastAsia="SimSun" w:hAnsi="Times New Roman" w:cs="Times New Roman"/>
          <w:b/>
          <w:snapToGrid w:val="0"/>
          <w:color w:val="000000" w:themeColor="text1"/>
          <w:sz w:val="24"/>
          <w:szCs w:val="24"/>
          <w:lang w:eastAsia="zh-CN"/>
        </w:rPr>
        <w:t>5.</w:t>
      </w:r>
      <w:r w:rsidR="009B043D" w:rsidRPr="009B043D">
        <w:rPr>
          <w:rFonts w:ascii="Times New Roman" w:eastAsia="SimSun" w:hAnsi="Times New Roman" w:cs="Times New Roman"/>
          <w:b/>
          <w:snapToGrid w:val="0"/>
          <w:color w:val="000000" w:themeColor="text1"/>
          <w:sz w:val="24"/>
          <w:szCs w:val="24"/>
          <w:lang w:eastAsia="zh-CN"/>
        </w:rPr>
        <w:t>Conclusion</w:t>
      </w:r>
    </w:p>
    <w:p w14:paraId="19F42A54" w14:textId="5AA4AD4F"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This study presents DAREA, a Dynamic AI-Driven Architecture for Real Estate Asset Tokenization on Blockchain, designed to address the persistent challenges of inaccurate valuation, limited transparency, and unstable pricing that hinder current real-estate-backed tokenization frameworks. By integrating advanced AI valuation models with autonomous on-chain mechanisms, DAREA establishes a complete and trustworthy pipeline for mapping physical real estate assets to dynamic digital representations on blockchain networks. Through the combination of transformer-based temporal forecasting, XGBoost-driven structural appraisal, and a rebase-enabled token stabilization module, the framework delivers a valuation mechanism that adapts continuously to both market movements and on-chain trading behaviors. Such a hybrid architecture enables more reliable token NAV computation and enhances the credibility and utility of real-estate-backed digital assets.</w:t>
      </w:r>
      <w:r w:rsidR="00212957">
        <w:rPr>
          <w:rFonts w:ascii="Times New Roman" w:hAnsi="Times New Roman" w:cs="Times New Roman"/>
          <w:snapToGrid w:val="0"/>
          <w:color w:val="000000" w:themeColor="text1"/>
          <w:kern w:val="0"/>
        </w:rPr>
        <w:t xml:space="preserve"> </w:t>
      </w:r>
      <w:r w:rsidRPr="009B043D">
        <w:rPr>
          <w:rFonts w:ascii="Times New Roman" w:eastAsia="SimSun" w:hAnsi="Times New Roman" w:cs="Times New Roman"/>
          <w:snapToGrid w:val="0"/>
          <w:color w:val="000000" w:themeColor="text1"/>
          <w:kern w:val="0"/>
          <w:lang w:eastAsia="zh-CN"/>
          <w14:ligatures w14:val="none"/>
        </w:rPr>
        <w:t xml:space="preserve">Experimental results further validate the efficacy of the proposed system. Using multi-city real-estate transaction datasets covering both macro-level temporal indicators and micro-level structural features, DAREA achieves a 12.4% reduction in RMSE, a 9.7% improvement in MAPE, and a 29.3% decrease in token price volatility relative to the strongest benchmark models. These results demonstrate that the dual-channel valuation structure improves dynamic price discovery, while the hybrid oracle pipeline ensures secure and consistent on-chain </w:t>
      </w:r>
      <w:r w:rsidRPr="009B043D">
        <w:rPr>
          <w:rFonts w:ascii="Times New Roman" w:eastAsia="SimSun" w:hAnsi="Times New Roman" w:cs="Times New Roman"/>
          <w:snapToGrid w:val="0"/>
          <w:color w:val="000000" w:themeColor="text1"/>
          <w:kern w:val="0"/>
          <w:lang w:eastAsia="zh-CN"/>
          <w14:ligatures w14:val="none"/>
        </w:rPr>
        <w:lastRenderedPageBreak/>
        <w:t>valuation updates. Moreover, simulated market experiments show that DAREA</w:t>
      </w:r>
      <w:r w:rsidRPr="009B043D">
        <w:rPr>
          <w:rFonts w:ascii="Times New Roman" w:hAnsi="Times New Roman" w:cs="Times New Roman"/>
          <w:snapToGrid w:val="0"/>
          <w:color w:val="000000" w:themeColor="text1"/>
          <w:kern w:val="0"/>
          <w:lang w:eastAsia="zh-CN"/>
          <w14:ligatures w14:val="none"/>
        </w:rPr>
        <w:t>’</w:t>
      </w:r>
      <w:r w:rsidRPr="009B043D">
        <w:rPr>
          <w:rFonts w:ascii="Times New Roman" w:eastAsia="SimSun" w:hAnsi="Times New Roman" w:cs="Times New Roman"/>
          <w:snapToGrid w:val="0"/>
          <w:color w:val="000000" w:themeColor="text1"/>
          <w:kern w:val="0"/>
          <w:lang w:eastAsia="zh-CN"/>
          <w14:ligatures w14:val="none"/>
        </w:rPr>
        <w:t>s stabilization mechanism effectively mitigates short-term price oscillations caused by liquidity shocks and speculative trading, thereby preserving the economic meaning of tokenized assets. Collectively, these findings confirm that DAREA significantly enhances both valuation fidelity and token price stability, providing a robust foundation for scalable real-estate tokenization.</w:t>
      </w:r>
      <w:r w:rsidR="00212957">
        <w:rPr>
          <w:rFonts w:ascii="Times New Roman" w:hAnsi="Times New Roman" w:cs="Times New Roman"/>
          <w:snapToGrid w:val="0"/>
          <w:color w:val="000000" w:themeColor="text1"/>
          <w:kern w:val="0"/>
        </w:rPr>
        <w:t xml:space="preserve"> </w:t>
      </w:r>
      <w:r w:rsidRPr="009B043D">
        <w:rPr>
          <w:rFonts w:ascii="Times New Roman" w:eastAsia="SimSun" w:hAnsi="Times New Roman" w:cs="Times New Roman"/>
          <w:snapToGrid w:val="0"/>
          <w:color w:val="000000" w:themeColor="text1"/>
          <w:kern w:val="0"/>
          <w:lang w:eastAsia="zh-CN"/>
          <w14:ligatures w14:val="none"/>
        </w:rPr>
        <w:t>Future work may extend this research in several promising directions. Incorporating multimodal information—such as satellite imagery, 3D building scans, or natural-language property descriptions, or real-time IoT sensor data streams from smart buildings [1</w:t>
      </w:r>
      <w:r w:rsidRPr="009B043D">
        <w:rPr>
          <w:rFonts w:ascii="Times New Roman" w:hAnsi="Times New Roman" w:cs="Times New Roman"/>
          <w:snapToGrid w:val="0"/>
          <w:color w:val="000000" w:themeColor="text1"/>
          <w:kern w:val="0"/>
          <w:lang w:eastAsia="zh-CN"/>
          <w14:ligatures w14:val="none"/>
        </w:rPr>
        <w:t>8</w:t>
      </w:r>
      <w:r w:rsidRPr="009B043D">
        <w:rPr>
          <w:rFonts w:ascii="Times New Roman" w:eastAsia="SimSun" w:hAnsi="Times New Roman" w:cs="Times New Roman"/>
          <w:snapToGrid w:val="0"/>
          <w:color w:val="000000" w:themeColor="text1"/>
          <w:kern w:val="0"/>
          <w:lang w:eastAsia="zh-CN"/>
          <w14:ligatures w14:val="none"/>
        </w:rPr>
        <w:t>]—may further enhance the richness of the valuation model.</w:t>
      </w:r>
      <w:r w:rsidRPr="009B043D">
        <w:rPr>
          <w:rFonts w:ascii="Times New Roman" w:hAnsi="Times New Roman" w:cs="Times New Roman"/>
          <w:snapToGrid w:val="0"/>
          <w:color w:val="000000" w:themeColor="text1"/>
          <w:kern w:val="0"/>
          <w:lang w:eastAsia="zh-CN"/>
          <w14:ligatures w14:val="none"/>
        </w:rPr>
        <w:t xml:space="preserve"> Furthermore, the robust feature extraction paradigms pioneered by deep convolutional models (e.g., VGG16, MobileNet, and ResNet152) for complex visual pattern recognition in medical imaging [19] can be effectively adapted to analyze structural conditions, building quality, and architectural anomalies from property imagery. Specifically, to effectively process complex visual inputs like urban satellite feeds and street views, future iterations of DAREA could leverage advanced open-vocabulary panoptic segmentation networks [20]. These models would autonomously extract semantic-guided spatial features, providing a deeper and more nuanced understanding of the physical surroundings of real-world assets.</w:t>
      </w:r>
      <w:r w:rsidRPr="009B043D">
        <w:rPr>
          <w:rFonts w:ascii="Times New Roman" w:eastAsia="SimSun" w:hAnsi="Times New Roman" w:cs="Times New Roman"/>
          <w:snapToGrid w:val="0"/>
          <w:color w:val="000000" w:themeColor="text1"/>
          <w:kern w:val="0"/>
          <w:lang w:eastAsia="zh-CN"/>
          <w14:ligatures w14:val="none"/>
        </w:rPr>
        <w:t xml:space="preserve"> Exploring reinforcement learning-based asset pricing strategies could support autonomous adjustment of NAV update intervals or liquidity parameters in response to evolving market conditions. Additionally, deploying DAREA on real-world blockchain testbeds and integrating regulatory-compliant identity and custody modules would allow for broader adoption in institutional tokenization scenarios. Finally, future studies may examine cross-chain interoperability to support seamless trading of tokenized real-estate assets across heterogeneous blockchain ecosystems.</w:t>
      </w:r>
    </w:p>
    <w:p w14:paraId="47088F10" w14:textId="77777777" w:rsidR="009B043D" w:rsidRPr="009B043D" w:rsidRDefault="009B043D" w:rsidP="00212957">
      <w:pPr>
        <w:suppressAutoHyphens/>
        <w:adjustRightInd w:val="0"/>
        <w:snapToGrid w:val="0"/>
        <w:spacing w:after="0" w:line="240" w:lineRule="auto"/>
        <w:jc w:val="both"/>
        <w:rPr>
          <w:rFonts w:ascii="Times New Roman" w:hAnsi="Times New Roman" w:cs="Times New Roman"/>
          <w:snapToGrid w:val="0"/>
          <w:color w:val="000000" w:themeColor="text1"/>
          <w:kern w:val="0"/>
        </w:rPr>
      </w:pPr>
      <w:r w:rsidRPr="009B043D">
        <w:rPr>
          <w:rFonts w:ascii="Times New Roman" w:eastAsia="SimSun" w:hAnsi="Times New Roman" w:cs="Times New Roman"/>
          <w:snapToGrid w:val="0"/>
          <w:color w:val="000000" w:themeColor="text1"/>
          <w:kern w:val="0"/>
          <w:lang w:eastAsia="zh-CN"/>
          <w14:ligatures w14:val="none"/>
        </w:rPr>
        <w:t>Overall, DAREA provides a comprehensive, dynamic, and empirically validated framework for real-estate asset tokenization, advancing both the academic discourse and real-world deployment potential of AI-driven RWA systems.</w:t>
      </w:r>
    </w:p>
    <w:p w14:paraId="2E653BA5" w14:textId="77777777" w:rsidR="009B043D" w:rsidRPr="009B043D" w:rsidRDefault="009B043D" w:rsidP="009B043D">
      <w:pPr>
        <w:pStyle w:val="Heading1"/>
        <w:suppressAutoHyphens/>
        <w:adjustRightInd w:val="0"/>
        <w:snapToGrid w:val="0"/>
        <w:spacing w:before="0" w:after="0" w:line="240" w:lineRule="auto"/>
        <w:jc w:val="both"/>
        <w:rPr>
          <w:rFonts w:ascii="Times New Roman" w:eastAsia="SimSun" w:hAnsi="Times New Roman" w:cs="Times New Roman"/>
          <w:b/>
          <w:snapToGrid w:val="0"/>
          <w:color w:val="000000" w:themeColor="text1"/>
          <w:sz w:val="24"/>
          <w:szCs w:val="24"/>
        </w:rPr>
      </w:pPr>
      <w:r w:rsidRPr="009B043D">
        <w:rPr>
          <w:rFonts w:ascii="Times New Roman" w:eastAsia="SimSun" w:hAnsi="Times New Roman" w:cs="Times New Roman"/>
          <w:b/>
          <w:snapToGrid w:val="0"/>
          <w:color w:val="000000" w:themeColor="text1"/>
          <w:sz w:val="24"/>
          <w:szCs w:val="24"/>
          <w:lang w:eastAsia="zh-CN"/>
        </w:rPr>
        <w:t>References</w:t>
      </w:r>
    </w:p>
    <w:p w14:paraId="7CADF2D1"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Wouda H P, Opdenakker R. Blockchain technology in commercial real estate transactions[J]. Journal of property investment &amp; Finance, 2019, 37(6): 570-579.</w:t>
      </w:r>
    </w:p>
    <w:p w14:paraId="38493FE0"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Zhang R, Xue R, Liu L. Security and privacy on blockchain[J]. ACM Computing Surveys (CSUR), 2019, 52(3): 1-34.</w:t>
      </w:r>
    </w:p>
    <w:p w14:paraId="6D244944"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Adhami S, Giudici G, Martinazzi S. Why do businesses go crypto? An empirical analysis of initial coin offerings[J]. Journal of economics and business, 2018, 100: 64-75.</w:t>
      </w:r>
    </w:p>
    <w:p w14:paraId="241BAE31"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Chohan U W. Non-fungible tokens: Blockchains, scarcity, and value[M]//Non-fungible tokens. Routledge, 2024: 1-11.</w:t>
      </w:r>
    </w:p>
    <w:p w14:paraId="54F64446"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Lee, Luke. "Examining the legal status of digital assets as property: a comparative analysis of jurisdictional approaches." arXiv preprint arXiv:2406.15391 (2024).</w:t>
      </w:r>
    </w:p>
    <w:p w14:paraId="06A60D4C"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Hoxha, Visar. "Exploring the predictive power of ANN and traditional regression models in real estate pricing: evidence from Prishtina." Journal of Property Investment &amp; Finance 42.2 (2024): 134-150.</w:t>
      </w:r>
    </w:p>
    <w:p w14:paraId="2B58C43F"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Obagbuwa, Ibidun Christiana, and Samantha Danster. "Housing Price Prediction Using Machine Learning Techniques." 2024 International Conference on Science, Engineering and Business for Driving Sustainable Development Goals (SEB4SDG). IEEE, 2024.</w:t>
      </w:r>
    </w:p>
    <w:p w14:paraId="076D821A"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Yang, Zongyan, et al. "Graph convolutional network-based model for megacity real estate valuation." IEEE Access 10 (2022): 104811-104828.</w:t>
      </w:r>
    </w:p>
    <w:p w14:paraId="0F24D16D"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Nahar S, Mondal G, Ahmad M A, et al. Forecasting Real Estate Prices and Rents Using LSTM Algorithms[J]. Swami Vivekananda University Press, 2026: 94-112.</w:t>
      </w:r>
    </w:p>
    <w:p w14:paraId="1282FBFF"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lastRenderedPageBreak/>
        <w:t>Salah K, Rehman M H U, Nizamuddin N, et al. Blockchain for AI: Review and open research challenges[J]. IEEE access, 2019, 7: 10127-10149.</w:t>
      </w:r>
    </w:p>
    <w:p w14:paraId="460A1E5B"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Santosh, Kathari, et al. "Smart Contract Optimization in Business Workflows Using Deep Reinforcement Learning." 2026 World Conference on Computational Science and Technology (WcCST). IEEE, 2026.</w:t>
      </w:r>
    </w:p>
    <w:p w14:paraId="0D3B7628"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Mougayar, William. The business blockchain: promise, practice, and application of the next Internet technology. John Wiley &amp; Sons, 2016.</w:t>
      </w:r>
    </w:p>
    <w:p w14:paraId="3D30A1FE"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Wang, Tangtang, Kaijie Zhang, and Kuangcong Liu. "A Knowledge Graph and Deep Learning-Based Semantic Recommendation Database System for Advertisement Retrieval and Personalization." arXiv preprint arXiv:2601.00833 (2025).</w:t>
      </w:r>
    </w:p>
    <w:p w14:paraId="0DC34F5D"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Su, Boyi, et al. "Study on Real Estate Investment Risk Assessment and Decision Support System Driven by Fintech." Proceedings of the 2nd International Symposium on Integrated Circuit Design and Integrated Systems. 2025.</w:t>
      </w:r>
    </w:p>
    <w:p w14:paraId="18C85E35"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Hu, Zheqi, Mengdie Hu, and Zhenghang Li. "DynSupplyNet: A Dynamic Graph Neural Network with Temporal Fusion for Supply Chain Risk Prediction and Propagation Analysis." Journal of Computer Science and Frontier Technologies 3.2 (2026): 1-13.</w:t>
      </w:r>
    </w:p>
    <w:p w14:paraId="59D2CC4D"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Wang, Tangtang, and Zishan Bai. "TailRisk-Trans: A Transformer-Based Dynamic Tail-Risk Prediction Model with Extreme-Event–Aware Attention for Financial Markets." Frontiers in Business and Finance 3.1 (2026): 172-182.</w:t>
      </w:r>
    </w:p>
    <w:p w14:paraId="06F496E5"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Zhong, Ziwen, and Yuheng Huang. "CRE-CNN-LSTM-XAI: An Explainable Deep Learning Framework for Risk Assessment of Real Estate Collateralized Financial Products." Journal of Computer Science and Frontier Technologies 3.1 (2026): 127-140.</w:t>
      </w:r>
    </w:p>
    <w:p w14:paraId="704D7866"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Wei, Haoyan, Yuqing Wu, and Mengtong Li. "RAGN-IIoT: A Retrieval-Augmented NL2SQL Framework with Dynamic Sensor-Selection Guardrails for Industrial IoT Time-Series Data Warehouses." Journal of Computer, Signal, and System Research 2.7 (2025): 78-88.</w:t>
      </w:r>
    </w:p>
    <w:p w14:paraId="6710DD82"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Yao, Yilin, et al. "Deep Learning Models for Multi-class Pneumonia Detection in Chest X-rays: A Comparative Study of VGG16, MobileNet, and ResNet152." Computer Simulation in Application 3.1 (2025): 66-73.</w:t>
      </w:r>
    </w:p>
    <w:p w14:paraId="0D0EB931" w14:textId="77777777" w:rsidR="009B043D" w:rsidRPr="009B043D" w:rsidRDefault="009B043D" w:rsidP="00212957">
      <w:pPr>
        <w:widowControl w:val="0"/>
        <w:spacing w:after="0" w:line="240" w:lineRule="auto"/>
        <w:ind w:left="720" w:hanging="720"/>
        <w:jc w:val="both"/>
        <w:rPr>
          <w:rFonts w:ascii="Times New Roman" w:hAnsi="Times New Roman" w:cs="Times New Roman"/>
          <w:color w:val="000000" w:themeColor="text1"/>
          <w:shd w:val="clear" w:color="auto" w:fill="FFFFFF"/>
        </w:rPr>
      </w:pPr>
      <w:r w:rsidRPr="009B043D">
        <w:rPr>
          <w:rFonts w:ascii="Times New Roman" w:eastAsia="SimSun" w:hAnsi="Times New Roman" w:cs="Times New Roman"/>
          <w:color w:val="000000" w:themeColor="text1"/>
          <w:shd w:val="clear" w:color="auto" w:fill="FFFFFF"/>
        </w:rPr>
        <w:t>Huang, Yanxiang, et al. "Enhancing Open-Vocabulary Panoptic Segmentation with Semantic-Guided Q-Tuning." 2025 IEEE International Conference on Multimedia and Expo (ICME). IEEE, 2025.</w:t>
      </w:r>
    </w:p>
    <w:p w14:paraId="08E35509" w14:textId="77777777" w:rsidR="009B043D" w:rsidRPr="009B043D" w:rsidRDefault="009B043D" w:rsidP="00212957">
      <w:pPr>
        <w:spacing w:after="0" w:line="240" w:lineRule="auto"/>
        <w:ind w:left="720" w:hanging="720"/>
        <w:jc w:val="both"/>
        <w:rPr>
          <w:rFonts w:ascii="Times New Roman" w:hAnsi="Times New Roman" w:cs="Times New Roman"/>
          <w:color w:val="000000" w:themeColor="text1"/>
        </w:rPr>
      </w:pPr>
    </w:p>
    <w:p w14:paraId="1441F1A5" w14:textId="77777777" w:rsidR="009B043D" w:rsidRPr="009B043D" w:rsidRDefault="009B043D" w:rsidP="00212957">
      <w:pPr>
        <w:spacing w:after="0" w:line="240" w:lineRule="auto"/>
        <w:ind w:left="720" w:hanging="720"/>
        <w:jc w:val="both"/>
        <w:rPr>
          <w:rFonts w:ascii="Times New Roman" w:hAnsi="Times New Roman" w:cs="Times New Roman"/>
          <w:color w:val="000000" w:themeColor="text1"/>
        </w:rPr>
      </w:pPr>
    </w:p>
    <w:p w14:paraId="40E00355" w14:textId="77777777" w:rsidR="009B043D" w:rsidRPr="009B043D" w:rsidRDefault="009B043D" w:rsidP="00212957">
      <w:pPr>
        <w:spacing w:after="0" w:line="240" w:lineRule="auto"/>
        <w:ind w:left="720" w:hanging="720"/>
        <w:jc w:val="both"/>
        <w:rPr>
          <w:rFonts w:ascii="Times New Roman" w:hAnsi="Times New Roman" w:cs="Times New Roman"/>
          <w:color w:val="000000" w:themeColor="text1"/>
        </w:rPr>
      </w:pPr>
    </w:p>
    <w:p w14:paraId="14137A23" w14:textId="77777777" w:rsidR="00C53D5D" w:rsidRPr="009B043D" w:rsidRDefault="00C53D5D" w:rsidP="00212957">
      <w:pPr>
        <w:suppressAutoHyphens/>
        <w:adjustRightInd w:val="0"/>
        <w:snapToGrid w:val="0"/>
        <w:spacing w:after="0" w:line="240" w:lineRule="auto"/>
        <w:ind w:left="720" w:hanging="720"/>
        <w:jc w:val="both"/>
        <w:rPr>
          <w:rFonts w:ascii="Times New Roman" w:hAnsi="Times New Roman" w:cs="Times New Roman"/>
          <w:color w:val="000000" w:themeColor="text1"/>
          <w:shd w:val="clear" w:color="auto" w:fill="FFFFFF"/>
        </w:rPr>
      </w:pPr>
    </w:p>
    <w:sectPr w:rsidR="00C53D5D" w:rsidRPr="009B043D" w:rsidSect="00212957">
      <w:headerReference w:type="default" r:id="rId10"/>
      <w:footerReference w:type="default" r:id="rId11"/>
      <w:footerReference w:type="first" r:id="rId12"/>
      <w:pgSz w:w="12240" w:h="15840"/>
      <w:pgMar w:top="360" w:right="1440" w:bottom="1440" w:left="1440" w:header="720" w:footer="720" w:gutter="0"/>
      <w:pgNumType w:start="18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815B0" w14:textId="77777777" w:rsidR="00396EB0" w:rsidRDefault="00396EB0" w:rsidP="00FB62C5">
      <w:pPr>
        <w:spacing w:after="0" w:line="240" w:lineRule="auto"/>
      </w:pPr>
      <w:r>
        <w:separator/>
      </w:r>
    </w:p>
  </w:endnote>
  <w:endnote w:type="continuationSeparator" w:id="0">
    <w:p w14:paraId="5BEC09B2" w14:textId="77777777" w:rsidR="00396EB0" w:rsidRDefault="00396EB0" w:rsidP="00FB6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default"/>
    <w:sig w:usb0="00000000" w:usb1="00000000" w:usb2="00000001" w:usb3="00000000" w:csb0="400001BF" w:csb1="DFF7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raditional Arabic">
    <w:charset w:val="B2"/>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995225715"/>
      <w:docPartObj>
        <w:docPartGallery w:val="Page Numbers (Bottom of Page)"/>
        <w:docPartUnique/>
      </w:docPartObj>
    </w:sdtPr>
    <w:sdtEndPr>
      <w:rPr>
        <w:noProof/>
      </w:rPr>
    </w:sdtEndPr>
    <w:sdtContent>
      <w:p w14:paraId="5C710E73" w14:textId="631A469B" w:rsidR="00FB62C5" w:rsidRDefault="00FB62C5">
        <w:pPr>
          <w:pStyle w:val="Footer"/>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cs="Times New Roman"/>
            <w:sz w:val="22"/>
            <w:szCs w:val="22"/>
          </w:rPr>
          <w:fldChar w:fldCharType="begin"/>
        </w:r>
        <w:r>
          <w:instrText xml:space="preserve"> PAGE    \* MERGEFORMAT </w:instrText>
        </w:r>
        <w:r>
          <w:rPr>
            <w:rFonts w:cs="Times New Roman"/>
            <w:sz w:val="22"/>
            <w:szCs w:val="22"/>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0906E15B" w14:textId="77777777" w:rsidR="00FB62C5" w:rsidRDefault="00FB62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454864473"/>
      <w:docPartObj>
        <w:docPartGallery w:val="Page Numbers (Bottom of Page)"/>
        <w:docPartUnique/>
      </w:docPartObj>
    </w:sdtPr>
    <w:sdtEndPr>
      <w:rPr>
        <w:noProof/>
      </w:rPr>
    </w:sdtEndPr>
    <w:sdtContent>
      <w:p w14:paraId="34F5867D" w14:textId="77777777" w:rsidR="00FB62C5" w:rsidRDefault="00FB62C5" w:rsidP="00FB62C5">
        <w:pPr>
          <w:pStyle w:val="Footer"/>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cs="Times New Roman"/>
            <w:sz w:val="22"/>
            <w:szCs w:val="22"/>
          </w:rPr>
          <w:fldChar w:fldCharType="begin"/>
        </w:r>
        <w:r>
          <w:instrText xml:space="preserve"> PAGE    \* MERGEFORMAT </w:instrText>
        </w:r>
        <w:r>
          <w:rPr>
            <w:rFonts w:cs="Times New Roman"/>
            <w:sz w:val="22"/>
            <w:szCs w:val="22"/>
          </w:rPr>
          <w:fldChar w:fldCharType="separate"/>
        </w:r>
        <w:r>
          <w:rPr>
            <w:rFonts w:cs="Times New Roman"/>
            <w:sz w:val="22"/>
            <w:szCs w:val="22"/>
          </w:rPr>
          <w:t>2</w:t>
        </w:r>
        <w:r>
          <w:rPr>
            <w:rFonts w:asciiTheme="majorHAnsi" w:eastAsiaTheme="majorEastAsia" w:hAnsiTheme="majorHAnsi" w:cstheme="majorBidi"/>
            <w:noProof/>
            <w:sz w:val="28"/>
            <w:szCs w:val="28"/>
          </w:rPr>
          <w:fldChar w:fldCharType="end"/>
        </w:r>
      </w:p>
    </w:sdtContent>
  </w:sdt>
  <w:p w14:paraId="01D9DC92" w14:textId="77777777" w:rsidR="00FB62C5" w:rsidRDefault="00FB6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09508" w14:textId="77777777" w:rsidR="00396EB0" w:rsidRDefault="00396EB0" w:rsidP="00FB62C5">
      <w:pPr>
        <w:spacing w:after="0" w:line="240" w:lineRule="auto"/>
      </w:pPr>
      <w:r>
        <w:separator/>
      </w:r>
    </w:p>
  </w:footnote>
  <w:footnote w:type="continuationSeparator" w:id="0">
    <w:p w14:paraId="509054EC" w14:textId="77777777" w:rsidR="00396EB0" w:rsidRDefault="00396EB0" w:rsidP="00FB62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D76CA" w14:textId="6F3E8BCA" w:rsidR="00FB62C5" w:rsidRDefault="00FB62C5">
    <w:pPr>
      <w:pStyle w:val="Header"/>
    </w:pPr>
    <w:r>
      <w:rPr>
        <w:noProof/>
      </w:rPr>
      <mc:AlternateContent>
        <mc:Choice Requires="wps">
          <w:drawing>
            <wp:anchor distT="0" distB="0" distL="118745" distR="118745" simplePos="0" relativeHeight="251659264" behindDoc="1" locked="0" layoutInCell="1" allowOverlap="0" wp14:anchorId="4D85C88E" wp14:editId="00D2DAAB">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heme="majorBidi" w:hAnsiTheme="majorBidi" w:cstheme="majorBidi"/>
                              <w:b/>
                              <w:bCs/>
                              <w:caps/>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1BDB1125" w14:textId="267E6AB8" w:rsidR="00FB62C5" w:rsidRPr="00FB62C5" w:rsidRDefault="00FB62C5">
                              <w:pPr>
                                <w:pStyle w:val="Header"/>
                                <w:tabs>
                                  <w:tab w:val="clear" w:pos="4680"/>
                                  <w:tab w:val="clear" w:pos="9360"/>
                                </w:tabs>
                                <w:jc w:val="center"/>
                                <w:rPr>
                                  <w:rFonts w:asciiTheme="majorBidi" w:hAnsiTheme="majorBidi" w:cstheme="majorBidi"/>
                                  <w:b/>
                                  <w:bCs/>
                                  <w:caps/>
                                </w:rPr>
                              </w:pPr>
                              <w:r w:rsidRPr="00FB62C5">
                                <w:rPr>
                                  <w:rFonts w:asciiTheme="majorBidi" w:hAnsiTheme="majorBidi" w:cstheme="majorBidi"/>
                                  <w:b/>
                                  <w:bCs/>
                                  <w:caps/>
                                </w:rPr>
                                <w:t>FUNDAMENTAL SCIENTIFIC REPORTS IN MULTIDISCIPLINARY AREAS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D85C88E"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" o:allowoverlap="f" fillcolor="#00b0f0" stroked="f" strokeweight="1pt">
              <v:textbox style="mso-fit-shape-to-text:t">
                <w:txbxContent>
                  <w:sdt>
                    <w:sdtPr>
                      <w:rPr>
                        <w:rFonts w:asciiTheme="majorBidi" w:hAnsiTheme="majorBidi" w:cstheme="majorBidi"/>
                        <w:b/>
                        <w:bCs/>
                        <w:caps/>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1BDB1125" w14:textId="267E6AB8" w:rsidR="00FB62C5" w:rsidRPr="00FB62C5" w:rsidRDefault="00FB62C5">
                        <w:pPr>
                          <w:pStyle w:val="Header"/>
                          <w:tabs>
                            <w:tab w:val="clear" w:pos="4680"/>
                            <w:tab w:val="clear" w:pos="9360"/>
                          </w:tabs>
                          <w:jc w:val="center"/>
                          <w:rPr>
                            <w:rFonts w:asciiTheme="majorBidi" w:hAnsiTheme="majorBidi" w:cstheme="majorBidi"/>
                            <w:b/>
                            <w:bCs/>
                            <w:caps/>
                          </w:rPr>
                        </w:pPr>
                        <w:r w:rsidRPr="00FB62C5">
                          <w:rPr>
                            <w:rFonts w:asciiTheme="majorBidi" w:hAnsiTheme="majorBidi" w:cstheme="majorBidi"/>
                            <w:b/>
                            <w:bCs/>
                            <w:caps/>
                          </w:rPr>
                          <w:t>FUNDAMENTAL SCIENTIFIC REPORTS IN MULTIDISCIPLINARY AREAS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E0E780"/>
    <w:multiLevelType w:val="singleLevel"/>
    <w:tmpl w:val="85E0E780"/>
    <w:lvl w:ilvl="0">
      <w:start w:val="1"/>
      <w:numFmt w:val="decimal"/>
      <w:suff w:val="space"/>
      <w:lvlText w:val="(%1)"/>
      <w:lvlJc w:val="left"/>
    </w:lvl>
  </w:abstractNum>
  <w:abstractNum w:abstractNumId="1" w15:restartNumberingAfterBreak="0">
    <w:nsid w:val="8FEAFAE9"/>
    <w:multiLevelType w:val="singleLevel"/>
    <w:tmpl w:val="8FEAFAE9"/>
    <w:lvl w:ilvl="0">
      <w:start w:val="1"/>
      <w:numFmt w:val="decimal"/>
      <w:suff w:val="space"/>
      <w:lvlText w:val="%1."/>
      <w:lvlJc w:val="left"/>
    </w:lvl>
  </w:abstractNum>
  <w:abstractNum w:abstractNumId="2" w15:restartNumberingAfterBreak="0">
    <w:nsid w:val="96232D0A"/>
    <w:multiLevelType w:val="singleLevel"/>
    <w:tmpl w:val="320AFC66"/>
    <w:lvl w:ilvl="0">
      <w:start w:val="1"/>
      <w:numFmt w:val="decimal"/>
      <w:suff w:val="space"/>
      <w:lvlText w:val="(%1)"/>
      <w:lvlJc w:val="left"/>
      <w:rPr>
        <w:b/>
        <w:bCs/>
      </w:rPr>
    </w:lvl>
  </w:abstractNum>
  <w:abstractNum w:abstractNumId="3" w15:restartNumberingAfterBreak="0">
    <w:nsid w:val="9654F0CC"/>
    <w:multiLevelType w:val="singleLevel"/>
    <w:tmpl w:val="6700CD8E"/>
    <w:lvl w:ilvl="0">
      <w:start w:val="1"/>
      <w:numFmt w:val="decimal"/>
      <w:suff w:val="space"/>
      <w:lvlText w:val="(%1)"/>
      <w:lvlJc w:val="left"/>
      <w:rPr>
        <w:rFonts w:ascii="Times New Roman" w:hAnsi="Times New Roman" w:cs="Times New Roman" w:hint="default"/>
        <w:b/>
        <w:bCs/>
        <w:sz w:val="21"/>
        <w:szCs w:val="21"/>
      </w:rPr>
    </w:lvl>
  </w:abstractNum>
  <w:abstractNum w:abstractNumId="4" w15:restartNumberingAfterBreak="0">
    <w:nsid w:val="A677EEDF"/>
    <w:multiLevelType w:val="singleLevel"/>
    <w:tmpl w:val="A677EEDF"/>
    <w:lvl w:ilvl="0">
      <w:start w:val="1"/>
      <w:numFmt w:val="decimal"/>
      <w:suff w:val="space"/>
      <w:lvlText w:val="%1."/>
      <w:lvlJc w:val="left"/>
      <w:rPr>
        <w:rFonts w:ascii="Times New Roman Bold" w:hAnsi="Times New Roman Bold" w:cs="Times New Roman Bold" w:hint="default"/>
        <w:b/>
        <w:bCs/>
        <w:sz w:val="28"/>
        <w:szCs w:val="28"/>
      </w:rPr>
    </w:lvl>
  </w:abstractNum>
  <w:abstractNum w:abstractNumId="5" w15:restartNumberingAfterBreak="0">
    <w:nsid w:val="AFDA63DB"/>
    <w:multiLevelType w:val="singleLevel"/>
    <w:tmpl w:val="AFDA63DB"/>
    <w:lvl w:ilvl="0">
      <w:start w:val="1"/>
      <w:numFmt w:val="decimal"/>
      <w:suff w:val="space"/>
      <w:lvlText w:val="%1."/>
      <w:lvlJc w:val="left"/>
    </w:lvl>
  </w:abstractNum>
  <w:abstractNum w:abstractNumId="6" w15:restartNumberingAfterBreak="0">
    <w:nsid w:val="B049C260"/>
    <w:multiLevelType w:val="singleLevel"/>
    <w:tmpl w:val="B049C260"/>
    <w:lvl w:ilvl="0">
      <w:start w:val="1"/>
      <w:numFmt w:val="decimal"/>
      <w:suff w:val="space"/>
      <w:lvlText w:val="[%1]"/>
      <w:lvlJc w:val="left"/>
    </w:lvl>
  </w:abstractNum>
  <w:abstractNum w:abstractNumId="7" w15:restartNumberingAfterBreak="0">
    <w:nsid w:val="B57E5469"/>
    <w:multiLevelType w:val="singleLevel"/>
    <w:tmpl w:val="B57E5469"/>
    <w:lvl w:ilvl="0">
      <w:start w:val="1"/>
      <w:numFmt w:val="decimal"/>
      <w:suff w:val="space"/>
      <w:lvlText w:val="[%1]"/>
      <w:lvlJc w:val="left"/>
    </w:lvl>
  </w:abstractNum>
  <w:abstractNum w:abstractNumId="8" w15:restartNumberingAfterBreak="0">
    <w:nsid w:val="B95D3389"/>
    <w:multiLevelType w:val="singleLevel"/>
    <w:tmpl w:val="B95D3389"/>
    <w:lvl w:ilvl="0">
      <w:start w:val="1"/>
      <w:numFmt w:val="decimal"/>
      <w:suff w:val="space"/>
      <w:lvlText w:val="%1."/>
      <w:lvlJc w:val="left"/>
    </w:lvl>
  </w:abstractNum>
  <w:abstractNum w:abstractNumId="9" w15:restartNumberingAfterBreak="0">
    <w:nsid w:val="BD92C849"/>
    <w:multiLevelType w:val="singleLevel"/>
    <w:tmpl w:val="BD92C849"/>
    <w:lvl w:ilvl="0">
      <w:start w:val="1"/>
      <w:numFmt w:val="decimal"/>
      <w:suff w:val="space"/>
      <w:lvlText w:val="[%1]"/>
      <w:lvlJc w:val="left"/>
      <w:rPr>
        <w:rFonts w:ascii="Times New Roman" w:hAnsi="Times New Roman" w:cs="Times New Roman" w:hint="default"/>
        <w:sz w:val="22"/>
        <w:szCs w:val="22"/>
      </w:rPr>
    </w:lvl>
  </w:abstractNum>
  <w:abstractNum w:abstractNumId="10" w15:restartNumberingAfterBreak="0">
    <w:nsid w:val="C09F09A1"/>
    <w:multiLevelType w:val="singleLevel"/>
    <w:tmpl w:val="C09F09A1"/>
    <w:lvl w:ilvl="0">
      <w:start w:val="1"/>
      <w:numFmt w:val="decimal"/>
      <w:suff w:val="space"/>
      <w:lvlText w:val="[%1]"/>
      <w:lvlJc w:val="left"/>
    </w:lvl>
  </w:abstractNum>
  <w:abstractNum w:abstractNumId="11" w15:restartNumberingAfterBreak="0">
    <w:nsid w:val="CF36F9EC"/>
    <w:multiLevelType w:val="singleLevel"/>
    <w:tmpl w:val="FC4A6C52"/>
    <w:lvl w:ilvl="0">
      <w:start w:val="1"/>
      <w:numFmt w:val="decimal"/>
      <w:suff w:val="space"/>
      <w:lvlText w:val="(%1)"/>
      <w:lvlJc w:val="left"/>
      <w:rPr>
        <w:b/>
        <w:bCs/>
      </w:rPr>
    </w:lvl>
  </w:abstractNum>
  <w:abstractNum w:abstractNumId="12" w15:restartNumberingAfterBreak="0">
    <w:nsid w:val="D80862AF"/>
    <w:multiLevelType w:val="singleLevel"/>
    <w:tmpl w:val="C04A722E"/>
    <w:lvl w:ilvl="0">
      <w:start w:val="1"/>
      <w:numFmt w:val="decimal"/>
      <w:suff w:val="space"/>
      <w:lvlText w:val="(%1)"/>
      <w:lvlJc w:val="left"/>
      <w:rPr>
        <w:b/>
        <w:bCs/>
      </w:rPr>
    </w:lvl>
  </w:abstractNum>
  <w:abstractNum w:abstractNumId="13" w15:restartNumberingAfterBreak="0">
    <w:nsid w:val="DAF1A55A"/>
    <w:multiLevelType w:val="singleLevel"/>
    <w:tmpl w:val="2B32A436"/>
    <w:lvl w:ilvl="0">
      <w:start w:val="1"/>
      <w:numFmt w:val="decimal"/>
      <w:suff w:val="space"/>
      <w:lvlText w:val="(%1)"/>
      <w:lvlJc w:val="left"/>
      <w:rPr>
        <w:b/>
        <w:bCs/>
      </w:rPr>
    </w:lvl>
  </w:abstractNum>
  <w:abstractNum w:abstractNumId="14" w15:restartNumberingAfterBreak="0">
    <w:nsid w:val="DD6EF1F4"/>
    <w:multiLevelType w:val="singleLevel"/>
    <w:tmpl w:val="DD6EF1F4"/>
    <w:lvl w:ilvl="0">
      <w:start w:val="1"/>
      <w:numFmt w:val="decimal"/>
      <w:suff w:val="space"/>
      <w:lvlText w:val="%1."/>
      <w:lvlJc w:val="left"/>
    </w:lvl>
  </w:abstractNum>
  <w:abstractNum w:abstractNumId="15" w15:restartNumberingAfterBreak="0">
    <w:nsid w:val="E67E6C84"/>
    <w:multiLevelType w:val="singleLevel"/>
    <w:tmpl w:val="E67E6C84"/>
    <w:lvl w:ilvl="0">
      <w:start w:val="1"/>
      <w:numFmt w:val="decimal"/>
      <w:suff w:val="space"/>
      <w:lvlText w:val="%1."/>
      <w:lvlJc w:val="left"/>
      <w:rPr>
        <w:rFonts w:ascii="Times New Roman Bold" w:hAnsi="Times New Roman Bold" w:cs="Times New Roman Bold" w:hint="default"/>
        <w:b/>
        <w:bCs/>
        <w:sz w:val="28"/>
        <w:szCs w:val="28"/>
      </w:rPr>
    </w:lvl>
  </w:abstractNum>
  <w:abstractNum w:abstractNumId="16" w15:restartNumberingAfterBreak="0">
    <w:nsid w:val="E7D9D69A"/>
    <w:multiLevelType w:val="singleLevel"/>
    <w:tmpl w:val="07E0861A"/>
    <w:lvl w:ilvl="0">
      <w:start w:val="1"/>
      <w:numFmt w:val="decimal"/>
      <w:suff w:val="space"/>
      <w:lvlText w:val="(%1)"/>
      <w:lvlJc w:val="left"/>
      <w:rPr>
        <w:b/>
        <w:bCs/>
      </w:rPr>
    </w:lvl>
  </w:abstractNum>
  <w:abstractNum w:abstractNumId="17" w15:restartNumberingAfterBreak="0">
    <w:nsid w:val="E880D2E4"/>
    <w:multiLevelType w:val="singleLevel"/>
    <w:tmpl w:val="28BC1570"/>
    <w:lvl w:ilvl="0">
      <w:start w:val="1"/>
      <w:numFmt w:val="decimal"/>
      <w:suff w:val="space"/>
      <w:lvlText w:val="(%1)"/>
      <w:lvlJc w:val="left"/>
      <w:rPr>
        <w:rFonts w:ascii="Times New Roman" w:hAnsi="Times New Roman" w:cs="Times New Roman" w:hint="default"/>
        <w:b/>
        <w:bCs/>
      </w:rPr>
    </w:lvl>
  </w:abstractNum>
  <w:abstractNum w:abstractNumId="18" w15:restartNumberingAfterBreak="0">
    <w:nsid w:val="F1ABEDF9"/>
    <w:multiLevelType w:val="singleLevel"/>
    <w:tmpl w:val="DC86AF7C"/>
    <w:lvl w:ilvl="0">
      <w:start w:val="1"/>
      <w:numFmt w:val="decimal"/>
      <w:suff w:val="space"/>
      <w:lvlText w:val="(%1)"/>
      <w:lvlJc w:val="left"/>
      <w:rPr>
        <w:b/>
        <w:bCs/>
      </w:rPr>
    </w:lvl>
  </w:abstractNum>
  <w:abstractNum w:abstractNumId="19" w15:restartNumberingAfterBreak="0">
    <w:nsid w:val="F3DF2603"/>
    <w:multiLevelType w:val="singleLevel"/>
    <w:tmpl w:val="F3DF2603"/>
    <w:lvl w:ilvl="0">
      <w:start w:val="1"/>
      <w:numFmt w:val="decimal"/>
      <w:suff w:val="space"/>
      <w:lvlText w:val="%1."/>
      <w:lvlJc w:val="left"/>
    </w:lvl>
  </w:abstractNum>
  <w:abstractNum w:abstractNumId="20" w15:restartNumberingAfterBreak="0">
    <w:nsid w:val="F7F34ED6"/>
    <w:multiLevelType w:val="singleLevel"/>
    <w:tmpl w:val="F7F34ED6"/>
    <w:lvl w:ilvl="0">
      <w:start w:val="1"/>
      <w:numFmt w:val="decimal"/>
      <w:suff w:val="space"/>
      <w:lvlText w:val="%1."/>
      <w:lvlJc w:val="left"/>
    </w:lvl>
  </w:abstractNum>
  <w:abstractNum w:abstractNumId="21" w15:restartNumberingAfterBreak="0">
    <w:nsid w:val="F7FE3A59"/>
    <w:multiLevelType w:val="singleLevel"/>
    <w:tmpl w:val="F7FE3A59"/>
    <w:lvl w:ilvl="0">
      <w:start w:val="1"/>
      <w:numFmt w:val="decimal"/>
      <w:suff w:val="space"/>
      <w:lvlText w:val="%1."/>
      <w:lvlJc w:val="left"/>
      <w:rPr>
        <w:rFonts w:ascii="Times New Roman Bold" w:hAnsi="Times New Roman Bold" w:cs="Times New Roman Bold" w:hint="default"/>
        <w:b/>
        <w:bCs/>
        <w:sz w:val="28"/>
        <w:szCs w:val="28"/>
      </w:rPr>
    </w:lvl>
  </w:abstractNum>
  <w:abstractNum w:abstractNumId="22" w15:restartNumberingAfterBreak="0">
    <w:nsid w:val="FBDF9146"/>
    <w:multiLevelType w:val="singleLevel"/>
    <w:tmpl w:val="FBDF9146"/>
    <w:lvl w:ilvl="0">
      <w:start w:val="1"/>
      <w:numFmt w:val="decimal"/>
      <w:suff w:val="space"/>
      <w:lvlText w:val="[%1]"/>
      <w:lvlJc w:val="left"/>
    </w:lvl>
  </w:abstractNum>
  <w:abstractNum w:abstractNumId="23" w15:restartNumberingAfterBreak="0">
    <w:nsid w:val="FBF70C36"/>
    <w:multiLevelType w:val="singleLevel"/>
    <w:tmpl w:val="FBF70C36"/>
    <w:lvl w:ilvl="0">
      <w:start w:val="1"/>
      <w:numFmt w:val="decimal"/>
      <w:suff w:val="space"/>
      <w:lvlText w:val="%1."/>
      <w:lvlJc w:val="left"/>
      <w:rPr>
        <w:rFonts w:ascii="Times New Roman Bold" w:hAnsi="Times New Roman Bold" w:cs="Times New Roman Bold" w:hint="default"/>
        <w:b/>
        <w:bCs/>
        <w:sz w:val="28"/>
        <w:szCs w:val="28"/>
      </w:rPr>
    </w:lvl>
  </w:abstractNum>
  <w:abstractNum w:abstractNumId="24" w15:restartNumberingAfterBreak="0">
    <w:nsid w:val="FBFD0CA7"/>
    <w:multiLevelType w:val="singleLevel"/>
    <w:tmpl w:val="FBFD0CA7"/>
    <w:lvl w:ilvl="0">
      <w:start w:val="1"/>
      <w:numFmt w:val="decimal"/>
      <w:suff w:val="space"/>
      <w:lvlText w:val="[%1]"/>
      <w:lvlJc w:val="left"/>
    </w:lvl>
  </w:abstractNum>
  <w:abstractNum w:abstractNumId="25" w15:restartNumberingAfterBreak="0">
    <w:nsid w:val="FD25A458"/>
    <w:multiLevelType w:val="singleLevel"/>
    <w:tmpl w:val="FD25A458"/>
    <w:lvl w:ilvl="0">
      <w:start w:val="1"/>
      <w:numFmt w:val="decimal"/>
      <w:suff w:val="space"/>
      <w:lvlText w:val="%1."/>
      <w:lvlJc w:val="left"/>
    </w:lvl>
  </w:abstractNum>
  <w:abstractNum w:abstractNumId="26" w15:restartNumberingAfterBreak="0">
    <w:nsid w:val="FDFF64ED"/>
    <w:multiLevelType w:val="singleLevel"/>
    <w:tmpl w:val="FDFF64ED"/>
    <w:lvl w:ilvl="0">
      <w:start w:val="1"/>
      <w:numFmt w:val="decimal"/>
      <w:suff w:val="space"/>
      <w:lvlText w:val="%1."/>
      <w:lvlJc w:val="left"/>
    </w:lvl>
  </w:abstractNum>
  <w:abstractNum w:abstractNumId="27" w15:restartNumberingAfterBreak="0">
    <w:nsid w:val="FE517565"/>
    <w:multiLevelType w:val="singleLevel"/>
    <w:tmpl w:val="D324BB3A"/>
    <w:lvl w:ilvl="0">
      <w:start w:val="1"/>
      <w:numFmt w:val="decimal"/>
      <w:suff w:val="space"/>
      <w:lvlText w:val="%1."/>
      <w:lvlJc w:val="left"/>
      <w:rPr>
        <w:b/>
        <w:bCs/>
      </w:rPr>
    </w:lvl>
  </w:abstractNum>
  <w:abstractNum w:abstractNumId="28" w15:restartNumberingAfterBreak="0">
    <w:nsid w:val="009F7A76"/>
    <w:multiLevelType w:val="multilevel"/>
    <w:tmpl w:val="8B8E6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23604F8"/>
    <w:multiLevelType w:val="hybridMultilevel"/>
    <w:tmpl w:val="94F4D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24E21DE"/>
    <w:multiLevelType w:val="hybridMultilevel"/>
    <w:tmpl w:val="EA844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25D054B"/>
    <w:multiLevelType w:val="singleLevel"/>
    <w:tmpl w:val="D0A62B40"/>
    <w:lvl w:ilvl="0">
      <w:start w:val="1"/>
      <w:numFmt w:val="decimal"/>
      <w:pStyle w:val="ListNumber"/>
      <w:lvlText w:val="%1."/>
      <w:lvlJc w:val="left"/>
      <w:pPr>
        <w:tabs>
          <w:tab w:val="num" w:pos="360"/>
        </w:tabs>
        <w:ind w:left="360" w:hanging="360"/>
      </w:pPr>
    </w:lvl>
  </w:abstractNum>
  <w:abstractNum w:abstractNumId="32" w15:restartNumberingAfterBreak="0">
    <w:nsid w:val="063A1287"/>
    <w:multiLevelType w:val="multilevel"/>
    <w:tmpl w:val="E22C3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06C869A2"/>
    <w:multiLevelType w:val="hybridMultilevel"/>
    <w:tmpl w:val="6A04A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8457E55"/>
    <w:multiLevelType w:val="multilevel"/>
    <w:tmpl w:val="C5422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C7805EB"/>
    <w:multiLevelType w:val="multilevel"/>
    <w:tmpl w:val="0C7805EB"/>
    <w:lvl w:ilvl="0">
      <w:start w:val="1"/>
      <w:numFmt w:val="decimal"/>
      <w:lvlText w:val="[%1]"/>
      <w:lvlJc w:val="left"/>
      <w:pPr>
        <w:ind w:left="860" w:hanging="440"/>
      </w:pPr>
      <w:rPr>
        <w:rFonts w:hint="eastAsia"/>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36" w15:restartNumberingAfterBreak="0">
    <w:nsid w:val="0D3A1661"/>
    <w:multiLevelType w:val="hybridMultilevel"/>
    <w:tmpl w:val="848ED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19F37A4"/>
    <w:multiLevelType w:val="singleLevel"/>
    <w:tmpl w:val="0409000F"/>
    <w:lvl w:ilvl="0">
      <w:start w:val="1"/>
      <w:numFmt w:val="decimal"/>
      <w:lvlText w:val="%1."/>
      <w:lvlJc w:val="left"/>
      <w:pPr>
        <w:tabs>
          <w:tab w:val="num" w:pos="720"/>
        </w:tabs>
        <w:ind w:left="720" w:hanging="360"/>
      </w:pPr>
    </w:lvl>
  </w:abstractNum>
  <w:abstractNum w:abstractNumId="38" w15:restartNumberingAfterBreak="0">
    <w:nsid w:val="13F3135A"/>
    <w:multiLevelType w:val="multilevel"/>
    <w:tmpl w:val="313C1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AA0C88A"/>
    <w:multiLevelType w:val="singleLevel"/>
    <w:tmpl w:val="1AA0C88A"/>
    <w:lvl w:ilvl="0">
      <w:start w:val="1"/>
      <w:numFmt w:val="decimal"/>
      <w:suff w:val="space"/>
      <w:lvlText w:val="[%1]"/>
      <w:lvlJc w:val="left"/>
    </w:lvl>
  </w:abstractNum>
  <w:abstractNum w:abstractNumId="40" w15:restartNumberingAfterBreak="0">
    <w:nsid w:val="1F8DDBAD"/>
    <w:multiLevelType w:val="singleLevel"/>
    <w:tmpl w:val="1F8DDBAD"/>
    <w:lvl w:ilvl="0">
      <w:start w:val="1"/>
      <w:numFmt w:val="decimal"/>
      <w:suff w:val="space"/>
      <w:lvlText w:val="%1."/>
      <w:lvlJc w:val="left"/>
      <w:rPr>
        <w:rFonts w:ascii="Times New Roman" w:hAnsi="Times New Roman" w:cs="Times New Roman" w:hint="default"/>
        <w:b/>
        <w:bCs/>
      </w:rPr>
    </w:lvl>
  </w:abstractNum>
  <w:abstractNum w:abstractNumId="41" w15:restartNumberingAfterBreak="0">
    <w:nsid w:val="1FA36228"/>
    <w:multiLevelType w:val="hybridMultilevel"/>
    <w:tmpl w:val="DB34F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2606958"/>
    <w:multiLevelType w:val="multilevel"/>
    <w:tmpl w:val="570CE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4C720CF"/>
    <w:multiLevelType w:val="hybridMultilevel"/>
    <w:tmpl w:val="C4F68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9C4F286"/>
    <w:multiLevelType w:val="singleLevel"/>
    <w:tmpl w:val="29C4F286"/>
    <w:lvl w:ilvl="0">
      <w:start w:val="1"/>
      <w:numFmt w:val="decimal"/>
      <w:suff w:val="space"/>
      <w:lvlText w:val="(%1)"/>
      <w:lvlJc w:val="left"/>
    </w:lvl>
  </w:abstractNum>
  <w:abstractNum w:abstractNumId="45" w15:restartNumberingAfterBreak="0">
    <w:nsid w:val="29E7A042"/>
    <w:multiLevelType w:val="singleLevel"/>
    <w:tmpl w:val="29E7A042"/>
    <w:lvl w:ilvl="0">
      <w:start w:val="1"/>
      <w:numFmt w:val="decimal"/>
      <w:suff w:val="space"/>
      <w:lvlText w:val="%1."/>
      <w:lvlJc w:val="left"/>
    </w:lvl>
  </w:abstractNum>
  <w:abstractNum w:abstractNumId="46" w15:restartNumberingAfterBreak="0">
    <w:nsid w:val="29F2DD23"/>
    <w:multiLevelType w:val="singleLevel"/>
    <w:tmpl w:val="0FBABF80"/>
    <w:lvl w:ilvl="0">
      <w:start w:val="1"/>
      <w:numFmt w:val="decimal"/>
      <w:suff w:val="space"/>
      <w:lvlText w:val="(%1)"/>
      <w:lvlJc w:val="left"/>
      <w:rPr>
        <w:b/>
        <w:bCs/>
      </w:rPr>
    </w:lvl>
  </w:abstractNum>
  <w:abstractNum w:abstractNumId="47" w15:restartNumberingAfterBreak="0">
    <w:nsid w:val="29FC12C6"/>
    <w:multiLevelType w:val="singleLevel"/>
    <w:tmpl w:val="29FC12C6"/>
    <w:lvl w:ilvl="0">
      <w:start w:val="1"/>
      <w:numFmt w:val="decimal"/>
      <w:suff w:val="space"/>
      <w:lvlText w:val="%1."/>
      <w:lvlJc w:val="left"/>
    </w:lvl>
  </w:abstractNum>
  <w:abstractNum w:abstractNumId="48" w15:restartNumberingAfterBreak="0">
    <w:nsid w:val="2A901BF4"/>
    <w:multiLevelType w:val="hybridMultilevel"/>
    <w:tmpl w:val="50C85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40B4FA2"/>
    <w:multiLevelType w:val="multilevel"/>
    <w:tmpl w:val="716EF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BAD1B24"/>
    <w:multiLevelType w:val="singleLevel"/>
    <w:tmpl w:val="0409000F"/>
    <w:lvl w:ilvl="0">
      <w:start w:val="1"/>
      <w:numFmt w:val="decimal"/>
      <w:lvlText w:val="%1."/>
      <w:lvlJc w:val="left"/>
      <w:pPr>
        <w:tabs>
          <w:tab w:val="num" w:pos="720"/>
        </w:tabs>
        <w:ind w:left="720" w:hanging="360"/>
      </w:pPr>
    </w:lvl>
  </w:abstractNum>
  <w:abstractNum w:abstractNumId="51" w15:restartNumberingAfterBreak="0">
    <w:nsid w:val="45330B57"/>
    <w:multiLevelType w:val="hybridMultilevel"/>
    <w:tmpl w:val="50C06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7723515"/>
    <w:multiLevelType w:val="singleLevel"/>
    <w:tmpl w:val="47723515"/>
    <w:lvl w:ilvl="0">
      <w:start w:val="1"/>
      <w:numFmt w:val="decimal"/>
      <w:suff w:val="space"/>
      <w:lvlText w:val="%1."/>
      <w:lvlJc w:val="left"/>
    </w:lvl>
  </w:abstractNum>
  <w:abstractNum w:abstractNumId="53" w15:restartNumberingAfterBreak="0">
    <w:nsid w:val="4DCF37D9"/>
    <w:multiLevelType w:val="hybridMultilevel"/>
    <w:tmpl w:val="57A60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17C499D"/>
    <w:multiLevelType w:val="hybridMultilevel"/>
    <w:tmpl w:val="B5225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2CA544A"/>
    <w:multiLevelType w:val="singleLevel"/>
    <w:tmpl w:val="52CA544A"/>
    <w:lvl w:ilvl="0">
      <w:start w:val="1"/>
      <w:numFmt w:val="decimal"/>
      <w:pStyle w:val="references"/>
      <w:suff w:val="space"/>
      <w:lvlText w:val="[%1]"/>
      <w:lvlJc w:val="left"/>
      <w:pPr>
        <w:ind w:left="360" w:hanging="360"/>
      </w:pPr>
      <w:rPr>
        <w:rFonts w:ascii="Times New Roman" w:hAnsi="Times New Roman" w:cs="Times New Roman" w:hint="default"/>
        <w:b w:val="0"/>
        <w:bCs w:val="0"/>
        <w:i w:val="0"/>
        <w:iCs w:val="0"/>
        <w:sz w:val="24"/>
        <w:szCs w:val="16"/>
      </w:rPr>
    </w:lvl>
  </w:abstractNum>
  <w:abstractNum w:abstractNumId="56" w15:restartNumberingAfterBreak="0">
    <w:nsid w:val="58A74BB7"/>
    <w:multiLevelType w:val="hybridMultilevel"/>
    <w:tmpl w:val="FF54F808"/>
    <w:lvl w:ilvl="0" w:tplc="D324BB3A">
      <w:start w:val="1"/>
      <w:numFmt w:val="decimal"/>
      <w:suff w:val="space"/>
      <w:lvlText w:val="%1."/>
      <w:lvlJc w:val="left"/>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8B419B4"/>
    <w:multiLevelType w:val="singleLevel"/>
    <w:tmpl w:val="58B419B4"/>
    <w:lvl w:ilvl="0">
      <w:start w:val="1"/>
      <w:numFmt w:val="decimal"/>
      <w:suff w:val="space"/>
      <w:lvlText w:val="[%1]"/>
      <w:lvlJc w:val="left"/>
      <w:rPr>
        <w:rFonts w:hint="default"/>
        <w:sz w:val="21"/>
        <w:szCs w:val="21"/>
      </w:rPr>
    </w:lvl>
  </w:abstractNum>
  <w:abstractNum w:abstractNumId="58" w15:restartNumberingAfterBreak="0">
    <w:nsid w:val="5A511ADC"/>
    <w:multiLevelType w:val="multilevel"/>
    <w:tmpl w:val="D93A16E0"/>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B004ADB"/>
    <w:multiLevelType w:val="hybridMultilevel"/>
    <w:tmpl w:val="F07A1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B9042C6"/>
    <w:multiLevelType w:val="singleLevel"/>
    <w:tmpl w:val="5B9042C6"/>
    <w:lvl w:ilvl="0">
      <w:start w:val="1"/>
      <w:numFmt w:val="decimal"/>
      <w:suff w:val="space"/>
      <w:lvlText w:val="[%1]"/>
      <w:lvlJc w:val="left"/>
    </w:lvl>
  </w:abstractNum>
  <w:abstractNum w:abstractNumId="61" w15:restartNumberingAfterBreak="0">
    <w:nsid w:val="5EFED124"/>
    <w:multiLevelType w:val="singleLevel"/>
    <w:tmpl w:val="5EFED124"/>
    <w:lvl w:ilvl="0">
      <w:start w:val="1"/>
      <w:numFmt w:val="decimal"/>
      <w:suff w:val="space"/>
      <w:lvlText w:val="%1."/>
      <w:lvlJc w:val="left"/>
      <w:rPr>
        <w:rFonts w:ascii="Times New Roman Bold" w:hAnsi="Times New Roman Bold" w:cs="Times New Roman Bold" w:hint="default"/>
        <w:b/>
        <w:bCs/>
        <w:sz w:val="28"/>
        <w:szCs w:val="28"/>
      </w:rPr>
    </w:lvl>
  </w:abstractNum>
  <w:abstractNum w:abstractNumId="62" w15:restartNumberingAfterBreak="0">
    <w:nsid w:val="5F76A02A"/>
    <w:multiLevelType w:val="singleLevel"/>
    <w:tmpl w:val="5F76A02A"/>
    <w:lvl w:ilvl="0">
      <w:start w:val="1"/>
      <w:numFmt w:val="decimal"/>
      <w:suff w:val="space"/>
      <w:lvlText w:val="[%1]"/>
      <w:lvlJc w:val="left"/>
    </w:lvl>
  </w:abstractNum>
  <w:abstractNum w:abstractNumId="63" w15:restartNumberingAfterBreak="0">
    <w:nsid w:val="62C19F65"/>
    <w:multiLevelType w:val="singleLevel"/>
    <w:tmpl w:val="517A0E04"/>
    <w:lvl w:ilvl="0">
      <w:start w:val="1"/>
      <w:numFmt w:val="decimal"/>
      <w:suff w:val="space"/>
      <w:lvlText w:val="(%1)"/>
      <w:lvlJc w:val="left"/>
      <w:pPr>
        <w:ind w:left="60" w:firstLine="0"/>
      </w:pPr>
      <w:rPr>
        <w:b/>
        <w:bCs/>
      </w:rPr>
    </w:lvl>
  </w:abstractNum>
  <w:abstractNum w:abstractNumId="64" w15:restartNumberingAfterBreak="0">
    <w:nsid w:val="70635394"/>
    <w:multiLevelType w:val="hybridMultilevel"/>
    <w:tmpl w:val="26F4D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1889DCC"/>
    <w:multiLevelType w:val="singleLevel"/>
    <w:tmpl w:val="9EA0E5BE"/>
    <w:lvl w:ilvl="0">
      <w:start w:val="1"/>
      <w:numFmt w:val="decimal"/>
      <w:suff w:val="space"/>
      <w:lvlText w:val="(%1)"/>
      <w:lvlJc w:val="left"/>
      <w:rPr>
        <w:b/>
        <w:bCs/>
      </w:rPr>
    </w:lvl>
  </w:abstractNum>
  <w:abstractNum w:abstractNumId="66" w15:restartNumberingAfterBreak="0">
    <w:nsid w:val="741650E1"/>
    <w:multiLevelType w:val="multilevel"/>
    <w:tmpl w:val="3A5E72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4925073"/>
    <w:multiLevelType w:val="hybridMultilevel"/>
    <w:tmpl w:val="18887E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6106047"/>
    <w:multiLevelType w:val="singleLevel"/>
    <w:tmpl w:val="EE8ABB70"/>
    <w:lvl w:ilvl="0">
      <w:start w:val="1"/>
      <w:numFmt w:val="decimal"/>
      <w:suff w:val="space"/>
      <w:lvlText w:val="(%1)"/>
      <w:lvlJc w:val="left"/>
      <w:rPr>
        <w:b/>
        <w:bCs/>
      </w:rPr>
    </w:lvl>
  </w:abstractNum>
  <w:abstractNum w:abstractNumId="69" w15:restartNumberingAfterBreak="0">
    <w:nsid w:val="78BD2A20"/>
    <w:multiLevelType w:val="singleLevel"/>
    <w:tmpl w:val="0409000F"/>
    <w:lvl w:ilvl="0">
      <w:start w:val="1"/>
      <w:numFmt w:val="decimal"/>
      <w:lvlText w:val="%1."/>
      <w:lvlJc w:val="left"/>
      <w:pPr>
        <w:tabs>
          <w:tab w:val="num" w:pos="720"/>
        </w:tabs>
        <w:ind w:left="720" w:hanging="360"/>
      </w:pPr>
    </w:lvl>
  </w:abstractNum>
  <w:abstractNum w:abstractNumId="70" w15:restartNumberingAfterBreak="0">
    <w:nsid w:val="79DB6124"/>
    <w:multiLevelType w:val="singleLevel"/>
    <w:tmpl w:val="E380359E"/>
    <w:lvl w:ilvl="0">
      <w:start w:val="1"/>
      <w:numFmt w:val="decimal"/>
      <w:suff w:val="space"/>
      <w:lvlText w:val="(%1)"/>
      <w:lvlJc w:val="left"/>
      <w:pPr>
        <w:ind w:left="0" w:firstLine="0"/>
      </w:pPr>
      <w:rPr>
        <w:rFonts w:hint="default"/>
        <w:b/>
        <w:bCs/>
      </w:rPr>
    </w:lvl>
  </w:abstractNum>
  <w:abstractNum w:abstractNumId="71" w15:restartNumberingAfterBreak="0">
    <w:nsid w:val="7A1F4861"/>
    <w:multiLevelType w:val="singleLevel"/>
    <w:tmpl w:val="7A1F4861"/>
    <w:lvl w:ilvl="0">
      <w:start w:val="1"/>
      <w:numFmt w:val="decimal"/>
      <w:suff w:val="space"/>
      <w:lvlText w:val="%1."/>
      <w:lvlJc w:val="left"/>
    </w:lvl>
  </w:abstractNum>
  <w:abstractNum w:abstractNumId="72" w15:restartNumberingAfterBreak="0">
    <w:nsid w:val="7B1BAB43"/>
    <w:multiLevelType w:val="singleLevel"/>
    <w:tmpl w:val="85B635F8"/>
    <w:lvl w:ilvl="0">
      <w:start w:val="1"/>
      <w:numFmt w:val="decimal"/>
      <w:suff w:val="space"/>
      <w:lvlText w:val="(%1)"/>
      <w:lvlJc w:val="left"/>
      <w:rPr>
        <w:b/>
        <w:bCs/>
      </w:rPr>
    </w:lvl>
  </w:abstractNum>
  <w:abstractNum w:abstractNumId="73" w15:restartNumberingAfterBreak="0">
    <w:nsid w:val="7CF711B2"/>
    <w:multiLevelType w:val="singleLevel"/>
    <w:tmpl w:val="7CF711B2"/>
    <w:lvl w:ilvl="0">
      <w:start w:val="1"/>
      <w:numFmt w:val="decimal"/>
      <w:suff w:val="space"/>
      <w:lvlText w:val="%1."/>
      <w:lvlJc w:val="left"/>
      <w:rPr>
        <w:rFonts w:ascii="Times New Roman Bold" w:hAnsi="Times New Roman Bold" w:cs="Times New Roman Bold" w:hint="default"/>
        <w:b/>
        <w:bCs/>
        <w:sz w:val="28"/>
        <w:szCs w:val="28"/>
      </w:rPr>
    </w:lvl>
  </w:abstractNum>
  <w:abstractNum w:abstractNumId="74" w15:restartNumberingAfterBreak="0">
    <w:nsid w:val="7DFE9CF4"/>
    <w:multiLevelType w:val="singleLevel"/>
    <w:tmpl w:val="7DFE9CF4"/>
    <w:lvl w:ilvl="0">
      <w:start w:val="1"/>
      <w:numFmt w:val="decimal"/>
      <w:suff w:val="space"/>
      <w:lvlText w:val="%1."/>
      <w:lvlJc w:val="left"/>
      <w:rPr>
        <w:rFonts w:ascii="Times New Roman Bold" w:hAnsi="Times New Roman Bold" w:cs="Times New Roman Bold" w:hint="default"/>
        <w:b/>
        <w:bCs/>
        <w:sz w:val="28"/>
        <w:szCs w:val="28"/>
      </w:rPr>
    </w:lvl>
  </w:abstractNum>
  <w:num w:numId="1" w16cid:durableId="228810510">
    <w:abstractNumId w:val="58"/>
  </w:num>
  <w:num w:numId="2" w16cid:durableId="2112358165">
    <w:abstractNumId w:val="66"/>
  </w:num>
  <w:num w:numId="3" w16cid:durableId="1074350601">
    <w:abstractNumId w:val="28"/>
  </w:num>
  <w:num w:numId="4" w16cid:durableId="2119829214">
    <w:abstractNumId w:val="34"/>
  </w:num>
  <w:num w:numId="5" w16cid:durableId="580256692">
    <w:abstractNumId w:val="42"/>
  </w:num>
  <w:num w:numId="6" w16cid:durableId="1476877694">
    <w:abstractNumId w:val="49"/>
  </w:num>
  <w:num w:numId="7" w16cid:durableId="69819250">
    <w:abstractNumId w:val="32"/>
  </w:num>
  <w:num w:numId="8" w16cid:durableId="1332441595">
    <w:abstractNumId w:val="38"/>
  </w:num>
  <w:num w:numId="9" w16cid:durableId="495270369">
    <w:abstractNumId w:val="59"/>
  </w:num>
  <w:num w:numId="10" w16cid:durableId="139419901">
    <w:abstractNumId w:val="45"/>
  </w:num>
  <w:num w:numId="11" w16cid:durableId="1668940522">
    <w:abstractNumId w:val="1"/>
  </w:num>
  <w:num w:numId="12" w16cid:durableId="843518696">
    <w:abstractNumId w:val="52"/>
  </w:num>
  <w:num w:numId="13" w16cid:durableId="87048936">
    <w:abstractNumId w:val="20"/>
  </w:num>
  <w:num w:numId="14" w16cid:durableId="1853497113">
    <w:abstractNumId w:val="61"/>
  </w:num>
  <w:num w:numId="15" w16cid:durableId="877013634">
    <w:abstractNumId w:val="5"/>
  </w:num>
  <w:num w:numId="16" w16cid:durableId="1769234514">
    <w:abstractNumId w:val="74"/>
  </w:num>
  <w:num w:numId="17" w16cid:durableId="1072121562">
    <w:abstractNumId w:val="26"/>
  </w:num>
  <w:num w:numId="18" w16cid:durableId="1883856192">
    <w:abstractNumId w:val="23"/>
  </w:num>
  <w:num w:numId="19" w16cid:durableId="1621717938">
    <w:abstractNumId w:val="14"/>
  </w:num>
  <w:num w:numId="20" w16cid:durableId="1585800005">
    <w:abstractNumId w:val="22"/>
  </w:num>
  <w:num w:numId="21" w16cid:durableId="742601272">
    <w:abstractNumId w:val="4"/>
  </w:num>
  <w:num w:numId="22" w16cid:durableId="1112287481">
    <w:abstractNumId w:val="8"/>
  </w:num>
  <w:num w:numId="23" w16cid:durableId="939725843">
    <w:abstractNumId w:val="15"/>
  </w:num>
  <w:num w:numId="24" w16cid:durableId="1790278826">
    <w:abstractNumId w:val="25"/>
  </w:num>
  <w:num w:numId="25" w16cid:durableId="1972977838">
    <w:abstractNumId w:val="21"/>
  </w:num>
  <w:num w:numId="26" w16cid:durableId="1683311458">
    <w:abstractNumId w:val="19"/>
  </w:num>
  <w:num w:numId="27" w16cid:durableId="2092383425">
    <w:abstractNumId w:val="62"/>
  </w:num>
  <w:num w:numId="28" w16cid:durableId="1832257685">
    <w:abstractNumId w:val="73"/>
  </w:num>
  <w:num w:numId="29" w16cid:durableId="328142443">
    <w:abstractNumId w:val="47"/>
  </w:num>
  <w:num w:numId="30" w16cid:durableId="1242520108">
    <w:abstractNumId w:val="31"/>
    <w:lvlOverride w:ilvl="0">
      <w:startOverride w:val="1"/>
    </w:lvlOverride>
  </w:num>
  <w:num w:numId="31" w16cid:durableId="1526284406">
    <w:abstractNumId w:val="31"/>
  </w:num>
  <w:num w:numId="32" w16cid:durableId="398333325">
    <w:abstractNumId w:val="67"/>
  </w:num>
  <w:num w:numId="33" w16cid:durableId="360861270">
    <w:abstractNumId w:val="33"/>
  </w:num>
  <w:num w:numId="34" w16cid:durableId="237518262">
    <w:abstractNumId w:val="41"/>
  </w:num>
  <w:num w:numId="35" w16cid:durableId="624845684">
    <w:abstractNumId w:val="43"/>
  </w:num>
  <w:num w:numId="36" w16cid:durableId="227541053">
    <w:abstractNumId w:val="53"/>
  </w:num>
  <w:num w:numId="37" w16cid:durableId="1546335139">
    <w:abstractNumId w:val="48"/>
  </w:num>
  <w:num w:numId="38" w16cid:durableId="1541700494">
    <w:abstractNumId w:val="54"/>
  </w:num>
  <w:num w:numId="39" w16cid:durableId="383679142">
    <w:abstractNumId w:val="29"/>
  </w:num>
  <w:num w:numId="40" w16cid:durableId="1836066341">
    <w:abstractNumId w:val="36"/>
  </w:num>
  <w:num w:numId="41" w16cid:durableId="522213016">
    <w:abstractNumId w:val="69"/>
    <w:lvlOverride w:ilvl="0">
      <w:startOverride w:val="1"/>
    </w:lvlOverride>
  </w:num>
  <w:num w:numId="42" w16cid:durableId="526598878">
    <w:abstractNumId w:val="50"/>
    <w:lvlOverride w:ilvl="0">
      <w:startOverride w:val="1"/>
    </w:lvlOverride>
  </w:num>
  <w:num w:numId="43" w16cid:durableId="2045934606">
    <w:abstractNumId w:val="37"/>
    <w:lvlOverride w:ilvl="0">
      <w:startOverride w:val="1"/>
    </w:lvlOverride>
  </w:num>
  <w:num w:numId="44" w16cid:durableId="528302313">
    <w:abstractNumId w:val="27"/>
  </w:num>
  <w:num w:numId="45" w16cid:durableId="1161850381">
    <w:abstractNumId w:val="35"/>
  </w:num>
  <w:num w:numId="46" w16cid:durableId="116948650">
    <w:abstractNumId w:val="2"/>
  </w:num>
  <w:num w:numId="47" w16cid:durableId="367607853">
    <w:abstractNumId w:val="57"/>
  </w:num>
  <w:num w:numId="48" w16cid:durableId="457650759">
    <w:abstractNumId w:val="3"/>
  </w:num>
  <w:num w:numId="49" w16cid:durableId="249169474">
    <w:abstractNumId w:val="11"/>
  </w:num>
  <w:num w:numId="50" w16cid:durableId="1542326678">
    <w:abstractNumId w:val="68"/>
  </w:num>
  <w:num w:numId="51" w16cid:durableId="536085931">
    <w:abstractNumId w:val="44"/>
  </w:num>
  <w:num w:numId="52" w16cid:durableId="200097351">
    <w:abstractNumId w:val="72"/>
  </w:num>
  <w:num w:numId="53" w16cid:durableId="1837375119">
    <w:abstractNumId w:val="13"/>
  </w:num>
  <w:num w:numId="54" w16cid:durableId="1534028974">
    <w:abstractNumId w:val="17"/>
  </w:num>
  <w:num w:numId="55" w16cid:durableId="1056734308">
    <w:abstractNumId w:val="56"/>
  </w:num>
  <w:num w:numId="56" w16cid:durableId="621151464">
    <w:abstractNumId w:val="63"/>
  </w:num>
  <w:num w:numId="57" w16cid:durableId="691492252">
    <w:abstractNumId w:val="46"/>
  </w:num>
  <w:num w:numId="58" w16cid:durableId="2078280411">
    <w:abstractNumId w:val="70"/>
  </w:num>
  <w:num w:numId="59" w16cid:durableId="59670116">
    <w:abstractNumId w:val="65"/>
  </w:num>
  <w:num w:numId="60" w16cid:durableId="167017186">
    <w:abstractNumId w:val="10"/>
  </w:num>
  <w:num w:numId="61" w16cid:durableId="42605052">
    <w:abstractNumId w:val="64"/>
  </w:num>
  <w:num w:numId="62" w16cid:durableId="212279339">
    <w:abstractNumId w:val="71"/>
  </w:num>
  <w:num w:numId="63" w16cid:durableId="2068841967">
    <w:abstractNumId w:val="51"/>
  </w:num>
  <w:num w:numId="64" w16cid:durableId="1612592407">
    <w:abstractNumId w:val="7"/>
  </w:num>
  <w:num w:numId="65" w16cid:durableId="539975581">
    <w:abstractNumId w:val="55"/>
  </w:num>
  <w:num w:numId="66" w16cid:durableId="1032193977">
    <w:abstractNumId w:val="40"/>
  </w:num>
  <w:num w:numId="67" w16cid:durableId="1706908187">
    <w:abstractNumId w:val="18"/>
  </w:num>
  <w:num w:numId="68" w16cid:durableId="1613365569">
    <w:abstractNumId w:val="0"/>
  </w:num>
  <w:num w:numId="69" w16cid:durableId="215091905">
    <w:abstractNumId w:val="39"/>
  </w:num>
  <w:num w:numId="70" w16cid:durableId="393546275">
    <w:abstractNumId w:val="30"/>
  </w:num>
  <w:num w:numId="71" w16cid:durableId="1306742480">
    <w:abstractNumId w:val="6"/>
  </w:num>
  <w:num w:numId="72" w16cid:durableId="51929355">
    <w:abstractNumId w:val="12"/>
  </w:num>
  <w:num w:numId="73" w16cid:durableId="733703085">
    <w:abstractNumId w:val="24"/>
  </w:num>
  <w:num w:numId="74" w16cid:durableId="2147315673">
    <w:abstractNumId w:val="16"/>
  </w:num>
  <w:num w:numId="75" w16cid:durableId="1323314779">
    <w:abstractNumId w:val="9"/>
  </w:num>
  <w:num w:numId="76" w16cid:durableId="621182500">
    <w:abstractNumId w:val="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2C5"/>
    <w:rsid w:val="000056CB"/>
    <w:rsid w:val="00015E96"/>
    <w:rsid w:val="00031EE6"/>
    <w:rsid w:val="00041381"/>
    <w:rsid w:val="00061334"/>
    <w:rsid w:val="000779BF"/>
    <w:rsid w:val="000C08BA"/>
    <w:rsid w:val="000C7C79"/>
    <w:rsid w:val="000D45D1"/>
    <w:rsid w:val="000D4965"/>
    <w:rsid w:val="000D57CB"/>
    <w:rsid w:val="000E69A5"/>
    <w:rsid w:val="000F3AAB"/>
    <w:rsid w:val="000F7C77"/>
    <w:rsid w:val="00121230"/>
    <w:rsid w:val="00124B35"/>
    <w:rsid w:val="001445DD"/>
    <w:rsid w:val="00196DC3"/>
    <w:rsid w:val="001A3466"/>
    <w:rsid w:val="001B4394"/>
    <w:rsid w:val="00212957"/>
    <w:rsid w:val="002247C7"/>
    <w:rsid w:val="002277A9"/>
    <w:rsid w:val="00250771"/>
    <w:rsid w:val="002717E3"/>
    <w:rsid w:val="00276283"/>
    <w:rsid w:val="00285E93"/>
    <w:rsid w:val="002959D2"/>
    <w:rsid w:val="002F283C"/>
    <w:rsid w:val="003103F9"/>
    <w:rsid w:val="00320FB4"/>
    <w:rsid w:val="0035244E"/>
    <w:rsid w:val="00355EE9"/>
    <w:rsid w:val="00365BA6"/>
    <w:rsid w:val="00370DAA"/>
    <w:rsid w:val="00396EB0"/>
    <w:rsid w:val="003B5AAF"/>
    <w:rsid w:val="003C58DD"/>
    <w:rsid w:val="003E22A8"/>
    <w:rsid w:val="003E571E"/>
    <w:rsid w:val="00400A58"/>
    <w:rsid w:val="00432F32"/>
    <w:rsid w:val="00451E86"/>
    <w:rsid w:val="00462162"/>
    <w:rsid w:val="004659F8"/>
    <w:rsid w:val="00487CA4"/>
    <w:rsid w:val="004C0666"/>
    <w:rsid w:val="004C6750"/>
    <w:rsid w:val="004D7891"/>
    <w:rsid w:val="00521C2C"/>
    <w:rsid w:val="0052741D"/>
    <w:rsid w:val="00540804"/>
    <w:rsid w:val="00546EB5"/>
    <w:rsid w:val="00552371"/>
    <w:rsid w:val="005540BD"/>
    <w:rsid w:val="005611F4"/>
    <w:rsid w:val="005711C6"/>
    <w:rsid w:val="00580FCD"/>
    <w:rsid w:val="005C6D69"/>
    <w:rsid w:val="00613318"/>
    <w:rsid w:val="00624B2D"/>
    <w:rsid w:val="00653815"/>
    <w:rsid w:val="00673358"/>
    <w:rsid w:val="006815AB"/>
    <w:rsid w:val="006979BD"/>
    <w:rsid w:val="006B3F3E"/>
    <w:rsid w:val="006B75D5"/>
    <w:rsid w:val="006E209F"/>
    <w:rsid w:val="006E2F0F"/>
    <w:rsid w:val="006E3801"/>
    <w:rsid w:val="007006CF"/>
    <w:rsid w:val="0070718E"/>
    <w:rsid w:val="00712971"/>
    <w:rsid w:val="00722490"/>
    <w:rsid w:val="00731C09"/>
    <w:rsid w:val="0074103B"/>
    <w:rsid w:val="00794F02"/>
    <w:rsid w:val="00797CA4"/>
    <w:rsid w:val="007A2724"/>
    <w:rsid w:val="007B2272"/>
    <w:rsid w:val="007C40CB"/>
    <w:rsid w:val="007C7937"/>
    <w:rsid w:val="007D3750"/>
    <w:rsid w:val="007F3470"/>
    <w:rsid w:val="007F6041"/>
    <w:rsid w:val="008118A4"/>
    <w:rsid w:val="00821360"/>
    <w:rsid w:val="0082241B"/>
    <w:rsid w:val="00844793"/>
    <w:rsid w:val="00844AF8"/>
    <w:rsid w:val="00847637"/>
    <w:rsid w:val="00850FD8"/>
    <w:rsid w:val="008810CC"/>
    <w:rsid w:val="008A4D1C"/>
    <w:rsid w:val="008B096E"/>
    <w:rsid w:val="008B130F"/>
    <w:rsid w:val="008B14A8"/>
    <w:rsid w:val="008B6978"/>
    <w:rsid w:val="008E2656"/>
    <w:rsid w:val="00904E9E"/>
    <w:rsid w:val="00931266"/>
    <w:rsid w:val="00983C67"/>
    <w:rsid w:val="00984E8A"/>
    <w:rsid w:val="0099449B"/>
    <w:rsid w:val="00995799"/>
    <w:rsid w:val="009A5955"/>
    <w:rsid w:val="009B043D"/>
    <w:rsid w:val="009E05BE"/>
    <w:rsid w:val="009E34C8"/>
    <w:rsid w:val="00A027D4"/>
    <w:rsid w:val="00A14473"/>
    <w:rsid w:val="00A46902"/>
    <w:rsid w:val="00AA47E7"/>
    <w:rsid w:val="00AB4A23"/>
    <w:rsid w:val="00AC0B92"/>
    <w:rsid w:val="00AF5A2E"/>
    <w:rsid w:val="00B74071"/>
    <w:rsid w:val="00B85CC3"/>
    <w:rsid w:val="00BA6323"/>
    <w:rsid w:val="00BB188E"/>
    <w:rsid w:val="00BC077C"/>
    <w:rsid w:val="00BE1918"/>
    <w:rsid w:val="00BE3D1D"/>
    <w:rsid w:val="00C26B0B"/>
    <w:rsid w:val="00C27906"/>
    <w:rsid w:val="00C362B9"/>
    <w:rsid w:val="00C52A47"/>
    <w:rsid w:val="00C53D5D"/>
    <w:rsid w:val="00C56CAC"/>
    <w:rsid w:val="00C72EC6"/>
    <w:rsid w:val="00C77B1B"/>
    <w:rsid w:val="00CE474E"/>
    <w:rsid w:val="00CF31DE"/>
    <w:rsid w:val="00D22A61"/>
    <w:rsid w:val="00D5792D"/>
    <w:rsid w:val="00D70D63"/>
    <w:rsid w:val="00DB5F7D"/>
    <w:rsid w:val="00DC2BF8"/>
    <w:rsid w:val="00DD284E"/>
    <w:rsid w:val="00DE75C5"/>
    <w:rsid w:val="00E138DC"/>
    <w:rsid w:val="00E200BC"/>
    <w:rsid w:val="00E25C1C"/>
    <w:rsid w:val="00E31CE3"/>
    <w:rsid w:val="00E57518"/>
    <w:rsid w:val="00E65F7B"/>
    <w:rsid w:val="00E80F4D"/>
    <w:rsid w:val="00EA6F30"/>
    <w:rsid w:val="00ED05A0"/>
    <w:rsid w:val="00EE6EC9"/>
    <w:rsid w:val="00F15462"/>
    <w:rsid w:val="00F30B3B"/>
    <w:rsid w:val="00F33B8A"/>
    <w:rsid w:val="00F51E08"/>
    <w:rsid w:val="00F6020E"/>
    <w:rsid w:val="00F96F97"/>
    <w:rsid w:val="00FB62C5"/>
    <w:rsid w:val="00FC4D0F"/>
    <w:rsid w:val="00FD41CF"/>
    <w:rsid w:val="00FE66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A9DC3"/>
  <w15:chartTrackingRefBased/>
  <w15:docId w15:val="{8A1AA996-CD90-4BBC-A7B1-2E53A739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iPriority="0"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B62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B62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B62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62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62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62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2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2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2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2-Accent3">
    <w:name w:val="List Table 2 Accent 3"/>
    <w:basedOn w:val="TableNormal"/>
    <w:uiPriority w:val="47"/>
    <w:rsid w:val="0025077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qFormat/>
    <w:rsid w:val="00FB62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62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B62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62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62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62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2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2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2C5"/>
    <w:rPr>
      <w:rFonts w:eastAsiaTheme="majorEastAsia" w:cstheme="majorBidi"/>
      <w:color w:val="272727" w:themeColor="text1" w:themeTint="D8"/>
    </w:rPr>
  </w:style>
  <w:style w:type="paragraph" w:styleId="Title">
    <w:name w:val="Title"/>
    <w:basedOn w:val="Normal"/>
    <w:next w:val="Normal"/>
    <w:link w:val="TitleChar"/>
    <w:uiPriority w:val="10"/>
    <w:qFormat/>
    <w:rsid w:val="00FB62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FB62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2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2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2C5"/>
    <w:pPr>
      <w:spacing w:before="160"/>
      <w:jc w:val="center"/>
    </w:pPr>
    <w:rPr>
      <w:i/>
      <w:iCs/>
      <w:color w:val="404040" w:themeColor="text1" w:themeTint="BF"/>
    </w:rPr>
  </w:style>
  <w:style w:type="character" w:customStyle="1" w:styleId="QuoteChar">
    <w:name w:val="Quote Char"/>
    <w:basedOn w:val="DefaultParagraphFont"/>
    <w:link w:val="Quote"/>
    <w:uiPriority w:val="29"/>
    <w:rsid w:val="00FB62C5"/>
    <w:rPr>
      <w:i/>
      <w:iCs/>
      <w:color w:val="404040" w:themeColor="text1" w:themeTint="BF"/>
    </w:rPr>
  </w:style>
  <w:style w:type="paragraph" w:styleId="ListParagraph">
    <w:name w:val="List Paragraph"/>
    <w:basedOn w:val="Normal"/>
    <w:uiPriority w:val="99"/>
    <w:qFormat/>
    <w:rsid w:val="00FB62C5"/>
    <w:pPr>
      <w:ind w:left="720"/>
      <w:contextualSpacing/>
    </w:pPr>
  </w:style>
  <w:style w:type="character" w:styleId="IntenseEmphasis">
    <w:name w:val="Intense Emphasis"/>
    <w:basedOn w:val="DefaultParagraphFont"/>
    <w:uiPriority w:val="21"/>
    <w:qFormat/>
    <w:rsid w:val="00FB62C5"/>
    <w:rPr>
      <w:i/>
      <w:iCs/>
      <w:color w:val="2F5496" w:themeColor="accent1" w:themeShade="BF"/>
    </w:rPr>
  </w:style>
  <w:style w:type="paragraph" w:styleId="IntenseQuote">
    <w:name w:val="Intense Quote"/>
    <w:basedOn w:val="Normal"/>
    <w:next w:val="Normal"/>
    <w:link w:val="IntenseQuoteChar"/>
    <w:uiPriority w:val="30"/>
    <w:qFormat/>
    <w:rsid w:val="00FB62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62C5"/>
    <w:rPr>
      <w:i/>
      <w:iCs/>
      <w:color w:val="2F5496" w:themeColor="accent1" w:themeShade="BF"/>
    </w:rPr>
  </w:style>
  <w:style w:type="character" w:styleId="IntenseReference">
    <w:name w:val="Intense Reference"/>
    <w:basedOn w:val="DefaultParagraphFont"/>
    <w:uiPriority w:val="32"/>
    <w:qFormat/>
    <w:rsid w:val="00FB62C5"/>
    <w:rPr>
      <w:b/>
      <w:bCs/>
      <w:smallCaps/>
      <w:color w:val="2F5496" w:themeColor="accent1" w:themeShade="BF"/>
      <w:spacing w:val="5"/>
    </w:rPr>
  </w:style>
  <w:style w:type="character" w:styleId="Hyperlink">
    <w:name w:val="Hyperlink"/>
    <w:basedOn w:val="DefaultParagraphFont"/>
    <w:uiPriority w:val="99"/>
    <w:unhideWhenUsed/>
    <w:rsid w:val="00FB62C5"/>
    <w:rPr>
      <w:color w:val="0563C1" w:themeColor="hyperlink"/>
      <w:u w:val="single"/>
    </w:rPr>
  </w:style>
  <w:style w:type="character" w:styleId="UnresolvedMention">
    <w:name w:val="Unresolved Mention"/>
    <w:basedOn w:val="DefaultParagraphFont"/>
    <w:uiPriority w:val="99"/>
    <w:semiHidden/>
    <w:unhideWhenUsed/>
    <w:rsid w:val="00FB62C5"/>
    <w:rPr>
      <w:color w:val="605E5C"/>
      <w:shd w:val="clear" w:color="auto" w:fill="E1DFDD"/>
    </w:rPr>
  </w:style>
  <w:style w:type="paragraph" w:styleId="Header">
    <w:name w:val="header"/>
    <w:basedOn w:val="Normal"/>
    <w:link w:val="HeaderChar"/>
    <w:uiPriority w:val="99"/>
    <w:unhideWhenUsed/>
    <w:rsid w:val="00FB6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2C5"/>
  </w:style>
  <w:style w:type="paragraph" w:styleId="Footer">
    <w:name w:val="footer"/>
    <w:basedOn w:val="Normal"/>
    <w:link w:val="FooterChar"/>
    <w:uiPriority w:val="99"/>
    <w:unhideWhenUsed/>
    <w:rsid w:val="00FB6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2C5"/>
  </w:style>
  <w:style w:type="paragraph" w:styleId="NormalWeb">
    <w:name w:val="Normal (Web)"/>
    <w:basedOn w:val="Normal"/>
    <w:unhideWhenUsed/>
    <w:qFormat/>
    <w:rsid w:val="009A595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qFormat/>
    <w:rsid w:val="009A5955"/>
    <w:rPr>
      <w:b/>
      <w:bCs/>
    </w:rPr>
  </w:style>
  <w:style w:type="paragraph" w:styleId="Caption">
    <w:name w:val="caption"/>
    <w:basedOn w:val="Normal"/>
    <w:next w:val="Normal"/>
    <w:uiPriority w:val="35"/>
    <w:unhideWhenUsed/>
    <w:qFormat/>
    <w:rsid w:val="00355EE9"/>
    <w:pPr>
      <w:spacing w:after="200" w:line="240" w:lineRule="auto"/>
    </w:pPr>
    <w:rPr>
      <w:i/>
      <w:iCs/>
      <w:color w:val="44546A" w:themeColor="text2"/>
      <w:sz w:val="18"/>
      <w:szCs w:val="18"/>
    </w:rPr>
  </w:style>
  <w:style w:type="paragraph" w:styleId="ListNumber">
    <w:name w:val="List Number"/>
    <w:uiPriority w:val="99"/>
    <w:unhideWhenUsed/>
    <w:rsid w:val="00D5792D"/>
    <w:pPr>
      <w:numPr>
        <w:numId w:val="30"/>
      </w:numPr>
      <w:tabs>
        <w:tab w:val="clear" w:pos="360"/>
      </w:tabs>
      <w:spacing w:after="0" w:line="240" w:lineRule="auto"/>
      <w:ind w:left="0" w:firstLine="0"/>
      <w:contextualSpacing/>
    </w:pPr>
    <w:rPr>
      <w:kern w:val="0"/>
      <w:sz w:val="20"/>
      <w:szCs w:val="20"/>
      <w14:ligatures w14:val="none"/>
    </w:rPr>
  </w:style>
  <w:style w:type="table" w:styleId="TableGrid">
    <w:name w:val="Table Grid"/>
    <w:basedOn w:val="TableNormal"/>
    <w:uiPriority w:val="39"/>
    <w:qFormat/>
    <w:rsid w:val="00673358"/>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qFormat/>
    <w:rsid w:val="000F3AAB"/>
    <w:pPr>
      <w:widowControl w:val="0"/>
      <w:spacing w:beforeLines="50" w:before="50" w:afterLines="50" w:after="50" w:line="360" w:lineRule="auto"/>
      <w:ind w:firstLineChars="200" w:firstLine="562"/>
      <w:jc w:val="both"/>
    </w:pPr>
    <w:rPr>
      <w:rFonts w:ascii="SimSun" w:eastAsia="SimSun" w:hAnsi="SimSun" w:cs="SimSun"/>
      <w14:ligatures w14:val="none"/>
    </w:rPr>
  </w:style>
  <w:style w:type="character" w:customStyle="1" w:styleId="BodyTextChar">
    <w:name w:val="Body Text Char"/>
    <w:basedOn w:val="DefaultParagraphFont"/>
    <w:link w:val="BodyText"/>
    <w:semiHidden/>
    <w:rsid w:val="000F3AAB"/>
    <w:rPr>
      <w:rFonts w:ascii="SimSun" w:eastAsia="SimSun" w:hAnsi="SimSun" w:cs="SimSun"/>
      <w14:ligatures w14:val="none"/>
    </w:rPr>
  </w:style>
  <w:style w:type="paragraph" w:styleId="FootnoteText">
    <w:name w:val="footnote text"/>
    <w:basedOn w:val="Normal"/>
    <w:link w:val="FootnoteTextChar"/>
    <w:rsid w:val="000F3AAB"/>
    <w:pPr>
      <w:widowControl w:val="0"/>
      <w:snapToGrid w:val="0"/>
      <w:spacing w:beforeLines="50" w:before="50" w:afterLines="50" w:after="50" w:line="360" w:lineRule="auto"/>
      <w:ind w:firstLineChars="200" w:firstLine="562"/>
    </w:pPr>
    <w:rPr>
      <w:rFonts w:ascii="Times New Roman" w:eastAsia="SimSun" w:hAnsi="Times New Roman"/>
      <w:sz w:val="18"/>
      <w:lang w:eastAsia="zh-CN"/>
      <w14:ligatures w14:val="none"/>
    </w:rPr>
  </w:style>
  <w:style w:type="character" w:customStyle="1" w:styleId="FootnoteTextChar">
    <w:name w:val="Footnote Text Char"/>
    <w:basedOn w:val="DefaultParagraphFont"/>
    <w:link w:val="FootnoteText"/>
    <w:rsid w:val="000F3AAB"/>
    <w:rPr>
      <w:rFonts w:ascii="Times New Roman" w:eastAsia="SimSun" w:hAnsi="Times New Roman"/>
      <w:sz w:val="18"/>
      <w:lang w:eastAsia="zh-CN"/>
      <w14:ligatures w14:val="none"/>
    </w:rPr>
  </w:style>
  <w:style w:type="character" w:styleId="EndnoteReference">
    <w:name w:val="endnote reference"/>
    <w:basedOn w:val="DefaultParagraphFont"/>
    <w:qFormat/>
    <w:rsid w:val="000F3AAB"/>
    <w:rPr>
      <w:vertAlign w:val="superscript"/>
    </w:rPr>
  </w:style>
  <w:style w:type="paragraph" w:styleId="TOAHeading">
    <w:name w:val="toa heading"/>
    <w:basedOn w:val="Normal"/>
    <w:next w:val="Normal"/>
    <w:qFormat/>
    <w:rsid w:val="00844793"/>
    <w:pPr>
      <w:widowControl w:val="0"/>
      <w:spacing w:before="120" w:after="0" w:line="240" w:lineRule="auto"/>
      <w:jc w:val="both"/>
    </w:pPr>
    <w:rPr>
      <w:rFonts w:ascii="Arial" w:eastAsia="SimSun" w:hAnsi="Arial" w:cs="Times New Roman"/>
      <w:szCs w:val="20"/>
      <w:lang w:eastAsia="zh-CN"/>
      <w14:ligatures w14:val="none"/>
    </w:rPr>
  </w:style>
  <w:style w:type="paragraph" w:customStyle="1" w:styleId="a">
    <w:name w:val="参考文献正文"/>
    <w:qFormat/>
    <w:rsid w:val="00844793"/>
    <w:pPr>
      <w:spacing w:after="0" w:line="340" w:lineRule="exact"/>
      <w:jc w:val="both"/>
    </w:pPr>
    <w:rPr>
      <w:rFonts w:ascii="SimSun" w:eastAsia="SimSun" w:hAnsi="SimSun" w:cs="SimSun" w:hint="eastAsia"/>
      <w:color w:val="000000"/>
      <w:kern w:val="0"/>
      <w:sz w:val="20"/>
      <w:szCs w:val="20"/>
      <w:lang w:eastAsia="zh-CN"/>
      <w14:ligatures w14:val="none"/>
    </w:rPr>
  </w:style>
  <w:style w:type="paragraph" w:customStyle="1" w:styleId="FirstParagraph">
    <w:name w:val="First Paragraph"/>
    <w:basedOn w:val="BodyText"/>
    <w:next w:val="BodyText"/>
    <w:uiPriority w:val="7"/>
    <w:qFormat/>
    <w:rsid w:val="007A2724"/>
    <w:pPr>
      <w:spacing w:before="180" w:afterLines="0" w:after="180" w:line="240" w:lineRule="auto"/>
      <w:ind w:firstLineChars="0" w:firstLine="0"/>
    </w:pPr>
    <w:rPr>
      <w:rFonts w:ascii="Times New Roman" w:eastAsiaTheme="minorEastAsia" w:hAnsi="Times New Roman" w:cstheme="minorBidi"/>
      <w:lang w:eastAsia="zh-CN"/>
    </w:rPr>
  </w:style>
  <w:style w:type="paragraph" w:customStyle="1" w:styleId="Bodytext0">
    <w:name w:val="Bodytext"/>
    <w:autoRedefine/>
    <w:uiPriority w:val="5"/>
    <w:qFormat/>
    <w:rsid w:val="008E2656"/>
    <w:pPr>
      <w:suppressAutoHyphens/>
      <w:adjustRightInd w:val="0"/>
      <w:snapToGrid w:val="0"/>
      <w:spacing w:after="0" w:line="240" w:lineRule="auto"/>
      <w:ind w:firstLine="284"/>
      <w:jc w:val="both"/>
    </w:pPr>
    <w:rPr>
      <w:rFonts w:ascii="Times New Roman" w:eastAsia="Times New Roman" w:hAnsi="Times New Roman" w:cs="Times New Roman"/>
      <w:snapToGrid w:val="0"/>
      <w:color w:val="000000"/>
      <w:kern w:val="0"/>
      <w:sz w:val="22"/>
      <w:szCs w:val="20"/>
      <w:lang w:eastAsia="zh-CN"/>
      <w14:ligatures w14:val="none"/>
    </w:rPr>
  </w:style>
  <w:style w:type="paragraph" w:customStyle="1" w:styleId="FigureCaption">
    <w:name w:val="Figure Caption"/>
    <w:uiPriority w:val="11"/>
    <w:qFormat/>
    <w:rsid w:val="008E2656"/>
    <w:pPr>
      <w:keepLines/>
      <w:suppressAutoHyphens/>
      <w:adjustRightInd w:val="0"/>
      <w:snapToGrid w:val="0"/>
      <w:spacing w:before="120" w:after="240" w:line="240" w:lineRule="auto"/>
      <w:contextualSpacing/>
      <w:jc w:val="center"/>
    </w:pPr>
    <w:rPr>
      <w:rFonts w:ascii="Times New Roman" w:eastAsia="Times New Roman" w:hAnsi="Times New Roman" w:cs="Times New Roman"/>
      <w:snapToGrid w:val="0"/>
      <w:color w:val="000000"/>
      <w:kern w:val="0"/>
      <w:sz w:val="22"/>
      <w:szCs w:val="20"/>
      <w:lang w:eastAsia="zh-CN"/>
      <w14:ligatures w14:val="none"/>
    </w:rPr>
  </w:style>
  <w:style w:type="paragraph" w:customStyle="1" w:styleId="references">
    <w:name w:val="references"/>
    <w:autoRedefine/>
    <w:uiPriority w:val="99"/>
    <w:qFormat/>
    <w:rsid w:val="008E2656"/>
    <w:pPr>
      <w:numPr>
        <w:numId w:val="65"/>
      </w:numPr>
      <w:spacing w:after="50" w:line="180" w:lineRule="exact"/>
      <w:jc w:val="both"/>
    </w:pPr>
    <w:rPr>
      <w:rFonts w:ascii="Times New Roman" w:eastAsia="SimSun" w:hAnsi="Times New Roman" w:cs="Times New Roman"/>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srma.org.hostajournal.com/index.php/FSRMA/inde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B66DB-C341-4212-8EFE-91DCE1624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5116</Words>
  <Characters>29165</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FUNDAMENTAL SCIENTIFIC REPORTS IN MULTIDISCIPLINARY AREAS</vt:lpstr>
    </vt:vector>
  </TitlesOfParts>
  <Company/>
  <LinksUpToDate>false</LinksUpToDate>
  <CharactersWithSpaces>34213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FUNDAMENTAL SCIENTIFIC REPORTS IN MULTIDISCIPLINARY AREAS</dc:title>
  <dc:subject/>
  <dc:creator>Irfan Rashid</dc:creator>
  <cp:keywords/>
  <dc:description/>
  <cp:lastModifiedBy>ADMIN</cp:lastModifiedBy>
  <cp:revision>2</cp:revision>
  <cp:lastPrinted>2026-04-27T04:59:00Z</cp:lastPrinted>
  <dcterms:created xsi:type="dcterms:W3CDTF">2026-07-02T06:05:00Z</dcterms:created>
  <dcterms:modified xsi:type="dcterms:W3CDTF">2026-07-02T06:05:00Z</dcterms:modified>
</cp:coreProperties>
</file>